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1F9FC" w14:textId="296FA6B9" w:rsidR="00390267" w:rsidRPr="001062CC" w:rsidRDefault="00390267" w:rsidP="00390267">
      <w:pPr>
        <w:widowControl w:val="0"/>
        <w:tabs>
          <w:tab w:val="right" w:pos="9639"/>
        </w:tabs>
        <w:spacing w:after="0"/>
        <w:rPr>
          <w:b/>
          <w:bCs/>
          <w:color w:val="000000"/>
          <w:sz w:val="26"/>
          <w:szCs w:val="26"/>
        </w:rPr>
      </w:pPr>
      <w:r w:rsidRPr="001062CC">
        <w:rPr>
          <w:rFonts w:eastAsia="Times New Roman"/>
          <w:b/>
          <w:bCs/>
          <w:sz w:val="24"/>
          <w:szCs w:val="24"/>
        </w:rPr>
        <w:t>3GPP T</w:t>
      </w:r>
      <w:bookmarkStart w:id="0" w:name="_Ref452454252"/>
      <w:bookmarkEnd w:id="0"/>
      <w:r w:rsidRPr="001062CC">
        <w:rPr>
          <w:rFonts w:eastAsia="Times New Roman"/>
          <w:b/>
          <w:bCs/>
          <w:sz w:val="24"/>
          <w:szCs w:val="24"/>
        </w:rPr>
        <w:t xml:space="preserve">SG-RAN </w:t>
      </w:r>
      <w:r w:rsidRPr="001062CC">
        <w:rPr>
          <w:rFonts w:eastAsia="Times New Roman"/>
          <w:b/>
          <w:sz w:val="24"/>
          <w:szCs w:val="24"/>
        </w:rPr>
        <w:t>WG3 Meeting #11</w:t>
      </w:r>
      <w:r w:rsidR="00DC6B3E" w:rsidRPr="001062CC">
        <w:rPr>
          <w:rFonts w:eastAsia="Times New Roman"/>
          <w:b/>
          <w:sz w:val="24"/>
          <w:szCs w:val="24"/>
        </w:rPr>
        <w:t>4</w:t>
      </w:r>
      <w:r w:rsidR="00C57840">
        <w:rPr>
          <w:rFonts w:eastAsia="Times New Roman"/>
          <w:b/>
          <w:sz w:val="24"/>
          <w:szCs w:val="24"/>
        </w:rPr>
        <w:t>bis-</w:t>
      </w:r>
      <w:r w:rsidRPr="001062CC">
        <w:rPr>
          <w:rFonts w:eastAsia="Times New Roman"/>
          <w:b/>
          <w:sz w:val="24"/>
          <w:szCs w:val="24"/>
        </w:rPr>
        <w:t xml:space="preserve">e                                                      </w:t>
      </w:r>
      <w:r w:rsidR="00F903F8">
        <w:rPr>
          <w:rFonts w:eastAsia="Times New Roman"/>
          <w:b/>
          <w:sz w:val="24"/>
          <w:szCs w:val="24"/>
        </w:rPr>
        <w:tab/>
      </w:r>
      <w:r w:rsidRPr="001062CC">
        <w:rPr>
          <w:b/>
          <w:bCs/>
          <w:color w:val="000000"/>
          <w:sz w:val="26"/>
          <w:szCs w:val="26"/>
        </w:rPr>
        <w:t>R3-2</w:t>
      </w:r>
      <w:r w:rsidR="008410A7">
        <w:rPr>
          <w:b/>
          <w:bCs/>
          <w:color w:val="000000"/>
          <w:sz w:val="26"/>
          <w:szCs w:val="26"/>
        </w:rPr>
        <w:t>20274</w:t>
      </w:r>
      <w:bookmarkStart w:id="1" w:name="_GoBack"/>
      <w:bookmarkEnd w:id="1"/>
    </w:p>
    <w:p w14:paraId="18202845" w14:textId="104169FF" w:rsidR="00390267" w:rsidRPr="001062CC" w:rsidRDefault="00390267" w:rsidP="00390267">
      <w:pPr>
        <w:widowControl w:val="0"/>
        <w:tabs>
          <w:tab w:val="right" w:pos="9639"/>
        </w:tabs>
        <w:spacing w:after="0"/>
        <w:rPr>
          <w:rFonts w:eastAsia="Times New Roman"/>
          <w:b/>
          <w:bCs/>
          <w:i/>
          <w:sz w:val="24"/>
          <w:szCs w:val="24"/>
        </w:rPr>
      </w:pPr>
      <w:r w:rsidRPr="001062CC">
        <w:rPr>
          <w:b/>
          <w:sz w:val="24"/>
          <w:szCs w:val="24"/>
          <w:lang w:eastAsia="zh-CN"/>
        </w:rPr>
        <w:t xml:space="preserve">E-Meeting: </w:t>
      </w:r>
      <w:r w:rsidR="00B72C36">
        <w:rPr>
          <w:b/>
          <w:sz w:val="24"/>
          <w:szCs w:val="24"/>
          <w:lang w:eastAsia="zh-CN"/>
        </w:rPr>
        <w:t>Jan</w:t>
      </w:r>
      <w:r w:rsidRPr="001062CC">
        <w:rPr>
          <w:b/>
          <w:sz w:val="24"/>
          <w:szCs w:val="24"/>
          <w:lang w:eastAsia="zh-CN"/>
        </w:rPr>
        <w:t xml:space="preserve"> 1</w:t>
      </w:r>
      <w:r w:rsidR="00B72C36">
        <w:rPr>
          <w:b/>
          <w:sz w:val="24"/>
          <w:szCs w:val="24"/>
          <w:lang w:eastAsia="zh-CN"/>
        </w:rPr>
        <w:t>7</w:t>
      </w:r>
      <w:r w:rsidR="00B72C36" w:rsidRPr="00B72C36">
        <w:rPr>
          <w:b/>
          <w:sz w:val="24"/>
          <w:szCs w:val="24"/>
          <w:vertAlign w:val="superscript"/>
          <w:lang w:eastAsia="zh-CN"/>
        </w:rPr>
        <w:t>th</w:t>
      </w:r>
      <w:r w:rsidR="00B72C36">
        <w:rPr>
          <w:b/>
          <w:sz w:val="24"/>
          <w:szCs w:val="24"/>
          <w:lang w:eastAsia="zh-CN"/>
        </w:rPr>
        <w:t xml:space="preserve"> </w:t>
      </w:r>
      <w:r w:rsidRPr="001062CC">
        <w:rPr>
          <w:b/>
          <w:sz w:val="24"/>
          <w:szCs w:val="24"/>
          <w:lang w:eastAsia="zh-CN"/>
        </w:rPr>
        <w:t xml:space="preserve">– </w:t>
      </w:r>
      <w:r w:rsidR="00B72C36">
        <w:rPr>
          <w:b/>
          <w:sz w:val="24"/>
          <w:szCs w:val="24"/>
          <w:lang w:eastAsia="zh-CN"/>
        </w:rPr>
        <w:t>Jan</w:t>
      </w:r>
      <w:r w:rsidRPr="001062CC">
        <w:rPr>
          <w:b/>
          <w:sz w:val="24"/>
          <w:szCs w:val="24"/>
          <w:lang w:eastAsia="zh-CN"/>
        </w:rPr>
        <w:t xml:space="preserve"> </w:t>
      </w:r>
      <w:r w:rsidR="00B72C36">
        <w:rPr>
          <w:b/>
          <w:sz w:val="24"/>
          <w:szCs w:val="24"/>
          <w:lang w:eastAsia="zh-CN"/>
        </w:rPr>
        <w:t>26</w:t>
      </w:r>
      <w:r w:rsidRPr="001062CC">
        <w:rPr>
          <w:b/>
          <w:sz w:val="24"/>
          <w:szCs w:val="24"/>
          <w:vertAlign w:val="superscript"/>
          <w:lang w:eastAsia="zh-CN"/>
        </w:rPr>
        <w:t>th</w:t>
      </w:r>
      <w:r w:rsidRPr="001062CC">
        <w:rPr>
          <w:b/>
          <w:sz w:val="24"/>
          <w:szCs w:val="24"/>
          <w:lang w:eastAsia="zh-CN"/>
        </w:rPr>
        <w:t>, 202</w:t>
      </w:r>
      <w:r w:rsidR="00B72C36">
        <w:rPr>
          <w:b/>
          <w:sz w:val="24"/>
          <w:szCs w:val="24"/>
          <w:lang w:eastAsia="zh-CN"/>
        </w:rPr>
        <w:t>2</w:t>
      </w:r>
      <w:r w:rsidRPr="001062CC">
        <w:rPr>
          <w:b/>
          <w:bCs/>
          <w:color w:val="000000"/>
          <w:sz w:val="26"/>
          <w:szCs w:val="26"/>
        </w:rPr>
        <w:t xml:space="preserve">                                     </w:t>
      </w:r>
    </w:p>
    <w:p w14:paraId="24B58BE0" w14:textId="77777777" w:rsidR="00390267" w:rsidRPr="001062CC" w:rsidRDefault="00390267" w:rsidP="00390267">
      <w:pPr>
        <w:widowControl w:val="0"/>
        <w:tabs>
          <w:tab w:val="right" w:pos="9639"/>
        </w:tabs>
        <w:spacing w:after="0"/>
        <w:rPr>
          <w:b/>
          <w:sz w:val="24"/>
          <w:szCs w:val="24"/>
          <w:lang w:eastAsia="zh-CN"/>
        </w:rPr>
      </w:pPr>
      <w:r w:rsidRPr="001062CC">
        <w:rPr>
          <w:b/>
          <w:sz w:val="24"/>
          <w:szCs w:val="24"/>
          <w:lang w:eastAsia="zh-CN"/>
        </w:rPr>
        <w:tab/>
        <w:t xml:space="preserve"> </w:t>
      </w:r>
    </w:p>
    <w:p w14:paraId="63C3DBAD" w14:textId="5A91E713" w:rsidR="00390267" w:rsidRPr="001062CC" w:rsidRDefault="00390267" w:rsidP="00390267">
      <w:pPr>
        <w:tabs>
          <w:tab w:val="left" w:pos="1985"/>
        </w:tabs>
        <w:spacing w:after="120"/>
        <w:rPr>
          <w:rFonts w:eastAsia="MS Mincho"/>
          <w:b/>
          <w:bCs/>
          <w:sz w:val="24"/>
        </w:rPr>
      </w:pPr>
      <w:r w:rsidRPr="001062CC">
        <w:rPr>
          <w:rFonts w:eastAsia="MS Mincho"/>
          <w:b/>
          <w:bCs/>
          <w:sz w:val="24"/>
        </w:rPr>
        <w:t>Agenda item:</w:t>
      </w:r>
      <w:r w:rsidRPr="001062CC">
        <w:rPr>
          <w:rFonts w:eastAsia="MS Mincho"/>
          <w:b/>
          <w:bCs/>
          <w:sz w:val="24"/>
        </w:rPr>
        <w:tab/>
        <w:t>15.</w:t>
      </w:r>
      <w:r w:rsidR="004765A8" w:rsidRPr="001062CC">
        <w:rPr>
          <w:rFonts w:eastAsia="MS Mincho"/>
          <w:b/>
          <w:bCs/>
          <w:sz w:val="24"/>
        </w:rPr>
        <w:t>3</w:t>
      </w:r>
    </w:p>
    <w:p w14:paraId="6BCF6ABD" w14:textId="77777777" w:rsidR="00390267" w:rsidRPr="001062CC" w:rsidRDefault="00390267" w:rsidP="00390267">
      <w:pPr>
        <w:tabs>
          <w:tab w:val="left" w:pos="1985"/>
        </w:tabs>
        <w:ind w:left="1985" w:hanging="1985"/>
        <w:rPr>
          <w:rFonts w:eastAsia="Times New Roman"/>
          <w:b/>
          <w:bCs/>
          <w:sz w:val="24"/>
        </w:rPr>
      </w:pPr>
      <w:r w:rsidRPr="001062CC">
        <w:rPr>
          <w:rFonts w:eastAsia="Times New Roman"/>
          <w:b/>
          <w:bCs/>
          <w:sz w:val="24"/>
        </w:rPr>
        <w:t>Source:</w:t>
      </w:r>
      <w:r w:rsidRPr="001062CC">
        <w:rPr>
          <w:rFonts w:eastAsia="Times New Roman"/>
          <w:b/>
          <w:bCs/>
          <w:sz w:val="24"/>
        </w:rPr>
        <w:tab/>
        <w:t>Qualcomm Inc.</w:t>
      </w:r>
    </w:p>
    <w:p w14:paraId="0F3ECE46" w14:textId="11F195E5" w:rsidR="00390267" w:rsidRPr="001062CC" w:rsidRDefault="00390267" w:rsidP="00390267">
      <w:pPr>
        <w:ind w:left="1985" w:hanging="1985"/>
        <w:rPr>
          <w:rFonts w:eastAsia="Times New Roman"/>
          <w:b/>
          <w:bCs/>
          <w:sz w:val="24"/>
        </w:rPr>
      </w:pPr>
      <w:r w:rsidRPr="001062CC">
        <w:rPr>
          <w:rFonts w:eastAsia="Times New Roman"/>
          <w:b/>
          <w:bCs/>
          <w:sz w:val="24"/>
        </w:rPr>
        <w:t>Title:</w:t>
      </w:r>
      <w:r w:rsidRPr="001062CC">
        <w:rPr>
          <w:rFonts w:eastAsia="Times New Roman"/>
          <w:b/>
          <w:bCs/>
          <w:sz w:val="24"/>
        </w:rPr>
        <w:tab/>
      </w:r>
      <w:r w:rsidR="00C068C5" w:rsidRPr="001062CC">
        <w:rPr>
          <w:rFonts w:eastAsia="Times New Roman"/>
          <w:b/>
          <w:bCs/>
          <w:sz w:val="24"/>
        </w:rPr>
        <w:t>RAN visible QoE</w:t>
      </w:r>
    </w:p>
    <w:p w14:paraId="777BFF69" w14:textId="77777777" w:rsidR="00390267" w:rsidRPr="001062CC" w:rsidRDefault="00390267" w:rsidP="00390267">
      <w:pPr>
        <w:ind w:left="1985" w:hanging="1985"/>
        <w:rPr>
          <w:rFonts w:eastAsia="Times New Roman"/>
          <w:b/>
          <w:bCs/>
          <w:sz w:val="24"/>
        </w:rPr>
      </w:pPr>
      <w:r w:rsidRPr="001062CC">
        <w:rPr>
          <w:rFonts w:eastAsia="Times New Roman"/>
          <w:b/>
          <w:bCs/>
          <w:sz w:val="24"/>
        </w:rPr>
        <w:t>Document for:</w:t>
      </w:r>
      <w:r w:rsidRPr="001062CC">
        <w:rPr>
          <w:rFonts w:eastAsia="Times New Roman"/>
          <w:b/>
          <w:bCs/>
          <w:sz w:val="24"/>
        </w:rPr>
        <w:tab/>
        <w:t>Discussion and Decision</w:t>
      </w:r>
    </w:p>
    <w:p w14:paraId="6B0250E2" w14:textId="1BC196C3" w:rsidR="00390267" w:rsidRDefault="00390267" w:rsidP="00390267">
      <w:pPr>
        <w:pStyle w:val="Heading1"/>
        <w:numPr>
          <w:ilvl w:val="0"/>
          <w:numId w:val="2"/>
        </w:numPr>
        <w:pBdr>
          <w:top w:val="single" w:sz="12" w:space="2" w:color="auto"/>
        </w:pBdr>
        <w:rPr>
          <w:rFonts w:ascii="Times New Roman" w:hAnsi="Times New Roman"/>
        </w:rPr>
      </w:pPr>
      <w:r w:rsidRPr="001062CC">
        <w:rPr>
          <w:rFonts w:ascii="Times New Roman" w:hAnsi="Times New Roman"/>
        </w:rPr>
        <w:t xml:space="preserve">Introduction </w:t>
      </w:r>
    </w:p>
    <w:p w14:paraId="393E61F1" w14:textId="4232EDC4" w:rsidR="00C9233A" w:rsidRPr="00A56923" w:rsidRDefault="00D75503" w:rsidP="00D75503">
      <w:r w:rsidRPr="00D75503">
        <w:rPr>
          <w:lang w:val="en-US"/>
        </w:rPr>
        <w:t xml:space="preserve">In this paper, we discuss </w:t>
      </w:r>
      <w:r>
        <w:rPr>
          <w:lang w:val="en-US"/>
        </w:rPr>
        <w:t>further on RAN Visible QoE</w:t>
      </w:r>
      <w:r w:rsidRPr="00D75503">
        <w:rPr>
          <w:lang w:val="en-US"/>
        </w:rPr>
        <w:t xml:space="preserve"> based on some agreements and open issues identified in </w:t>
      </w:r>
      <w:r>
        <w:rPr>
          <w:lang w:val="en-US"/>
        </w:rPr>
        <w:t>previous meetings.</w:t>
      </w:r>
    </w:p>
    <w:p w14:paraId="04A23FFF" w14:textId="11C62DAB" w:rsidR="00D81C03" w:rsidRDefault="00D81C03" w:rsidP="00D81C03">
      <w:pPr>
        <w:pStyle w:val="Heading1"/>
        <w:numPr>
          <w:ilvl w:val="0"/>
          <w:numId w:val="2"/>
        </w:numPr>
        <w:pBdr>
          <w:top w:val="single" w:sz="12" w:space="2" w:color="auto"/>
        </w:pBdr>
        <w:tabs>
          <w:tab w:val="num" w:pos="432"/>
        </w:tabs>
        <w:ind w:left="432" w:hanging="432"/>
        <w:rPr>
          <w:rFonts w:ascii="Times New Roman" w:hAnsi="Times New Roman"/>
        </w:rPr>
      </w:pPr>
      <w:r w:rsidRPr="001062CC">
        <w:rPr>
          <w:rFonts w:ascii="Times New Roman" w:hAnsi="Times New Roman"/>
        </w:rPr>
        <w:t>Discussion</w:t>
      </w:r>
    </w:p>
    <w:p w14:paraId="3C08F5AE" w14:textId="7EDFC7F3" w:rsidR="00962263" w:rsidRDefault="00962263" w:rsidP="00E77C2A">
      <w:pPr>
        <w:pStyle w:val="Heading2"/>
        <w:numPr>
          <w:ilvl w:val="1"/>
          <w:numId w:val="2"/>
        </w:numPr>
        <w:tabs>
          <w:tab w:val="left" w:pos="720"/>
        </w:tabs>
        <w:rPr>
          <w:rFonts w:ascii="Times New Roman" w:hAnsi="Times New Roman"/>
        </w:rPr>
      </w:pPr>
      <w:r>
        <w:rPr>
          <w:rFonts w:ascii="Times New Roman" w:hAnsi="Times New Roman"/>
        </w:rPr>
        <w:t xml:space="preserve">RVQoE </w:t>
      </w:r>
      <w:r w:rsidR="00A26E7F">
        <w:rPr>
          <w:rFonts w:ascii="Times New Roman" w:hAnsi="Times New Roman"/>
        </w:rPr>
        <w:t>metrics and values</w:t>
      </w:r>
    </w:p>
    <w:p w14:paraId="0C282B38" w14:textId="77777777" w:rsidR="00D412E7" w:rsidRPr="006F108C" w:rsidRDefault="00D412E7" w:rsidP="00A1118A">
      <w:pPr>
        <w:pStyle w:val="ListParagraph"/>
        <w:numPr>
          <w:ilvl w:val="0"/>
          <w:numId w:val="5"/>
        </w:numPr>
        <w:rPr>
          <w:color w:val="00B050"/>
          <w:lang w:eastAsia="zh-CN"/>
        </w:rPr>
      </w:pPr>
      <w:r w:rsidRPr="006F108C">
        <w:rPr>
          <w:color w:val="00B050"/>
          <w:lang w:eastAsia="zh-CN"/>
        </w:rPr>
        <w:t>Interaction latency or comparable quality viewport switching latency metric is NOT considered as a RAN visible QoE metric in Rel-17</w:t>
      </w:r>
    </w:p>
    <w:p w14:paraId="7C0EC2E1" w14:textId="77777777" w:rsidR="00D412E7" w:rsidRPr="006F108C" w:rsidRDefault="00D412E7" w:rsidP="00A1118A">
      <w:pPr>
        <w:pStyle w:val="ListParagraph"/>
        <w:numPr>
          <w:ilvl w:val="0"/>
          <w:numId w:val="5"/>
        </w:numPr>
        <w:rPr>
          <w:color w:val="00B050"/>
          <w:lang w:eastAsia="zh-CN"/>
        </w:rPr>
      </w:pPr>
      <w:r w:rsidRPr="006F108C">
        <w:rPr>
          <w:color w:val="00B050"/>
          <w:lang w:eastAsia="zh-CN"/>
        </w:rPr>
        <w:t xml:space="preserve">Buffer level is confirmed as a RAN visible QoE metric for DASH and VR service types </w:t>
      </w:r>
    </w:p>
    <w:p w14:paraId="6DB8D07F" w14:textId="22320814" w:rsidR="00962263" w:rsidRPr="006F108C" w:rsidRDefault="00D412E7" w:rsidP="00A1118A">
      <w:pPr>
        <w:pStyle w:val="ListParagraph"/>
        <w:numPr>
          <w:ilvl w:val="0"/>
          <w:numId w:val="5"/>
        </w:numPr>
        <w:rPr>
          <w:color w:val="00B050"/>
          <w:lang w:eastAsia="zh-CN"/>
        </w:rPr>
      </w:pPr>
      <w:r w:rsidRPr="006F108C">
        <w:rPr>
          <w:color w:val="00B050"/>
          <w:lang w:eastAsia="zh-CN"/>
        </w:rPr>
        <w:t>Playout delay for media startup is confirmed as a RAN visible QoE metric for DASH and VR service types</w:t>
      </w:r>
    </w:p>
    <w:p w14:paraId="0A13C7AD" w14:textId="7B4C91B7" w:rsidR="00A65041" w:rsidRDefault="00A65041" w:rsidP="00A1118A">
      <w:pPr>
        <w:pStyle w:val="ListParagraph"/>
        <w:numPr>
          <w:ilvl w:val="0"/>
          <w:numId w:val="5"/>
        </w:numPr>
        <w:rPr>
          <w:color w:val="0070C0"/>
          <w:lang w:eastAsia="x-none"/>
        </w:rPr>
      </w:pPr>
      <w:r w:rsidRPr="006F108C">
        <w:rPr>
          <w:color w:val="0070C0"/>
          <w:lang w:eastAsia="x-none"/>
        </w:rPr>
        <w:t>FFS whether to include stalling related events during an application session (e.g., number of stalling occurrences) as part of RAN visible QoE. FFS how this is indicated e.g., by counting how many times a stop reason is specified as "rebuffering" in Play List or via indicating Buffer Level as 0. FFS whether to consider this under RAN visible QoE metrics or values.</w:t>
      </w:r>
    </w:p>
    <w:p w14:paraId="7C87F1A6" w14:textId="77777777" w:rsidR="00A26E7F" w:rsidRPr="006F108C" w:rsidRDefault="00A26E7F" w:rsidP="00A1118A">
      <w:pPr>
        <w:pStyle w:val="ListParagraph"/>
        <w:numPr>
          <w:ilvl w:val="0"/>
          <w:numId w:val="5"/>
        </w:numPr>
        <w:rPr>
          <w:color w:val="0070C0"/>
          <w:lang w:eastAsia="x-none"/>
        </w:rPr>
      </w:pPr>
      <w:r w:rsidRPr="006F108C">
        <w:rPr>
          <w:color w:val="0070C0"/>
          <w:lang w:eastAsia="x-none"/>
        </w:rPr>
        <w:t>FFS whether and how to support RAN visible QoE values. If supported, the following is to be clarified:</w:t>
      </w:r>
    </w:p>
    <w:p w14:paraId="064E5CCD" w14:textId="77777777" w:rsidR="00A26E7F" w:rsidRPr="006F108C" w:rsidRDefault="00A26E7F" w:rsidP="00A1118A">
      <w:pPr>
        <w:pStyle w:val="ListParagraph"/>
        <w:numPr>
          <w:ilvl w:val="1"/>
          <w:numId w:val="5"/>
        </w:numPr>
        <w:rPr>
          <w:color w:val="0070C0"/>
          <w:lang w:eastAsia="x-none"/>
        </w:rPr>
      </w:pPr>
      <w:r w:rsidRPr="006F108C">
        <w:rPr>
          <w:color w:val="0070C0"/>
          <w:lang w:eastAsia="x-none"/>
        </w:rPr>
        <w:t>Granularity: Whether the RAN visible QoE value is calculated based on measurements of multiple metrics or per metric</w:t>
      </w:r>
    </w:p>
    <w:p w14:paraId="074AE2BE" w14:textId="77777777" w:rsidR="00A26E7F" w:rsidRPr="006F108C" w:rsidRDefault="00A26E7F" w:rsidP="00A1118A">
      <w:pPr>
        <w:pStyle w:val="ListParagraph"/>
        <w:numPr>
          <w:ilvl w:val="1"/>
          <w:numId w:val="5"/>
        </w:numPr>
        <w:rPr>
          <w:color w:val="0070C0"/>
          <w:lang w:eastAsia="x-none"/>
        </w:rPr>
      </w:pPr>
      <w:r w:rsidRPr="006F108C">
        <w:rPr>
          <w:color w:val="0070C0"/>
          <w:lang w:eastAsia="x-none"/>
        </w:rPr>
        <w:t>Definition: Whether the RAN visible QoE value is an objective/qualitative representation of QoE metrics (e.g., on a score of 0-10, poor/medium/good) or derived information from QoE metrics (e.g., the number of stalling events, buffer level alarm)</w:t>
      </w:r>
    </w:p>
    <w:p w14:paraId="5EE94453" w14:textId="77777777" w:rsidR="00A26E7F" w:rsidRPr="006F108C" w:rsidRDefault="00A26E7F" w:rsidP="00A1118A">
      <w:pPr>
        <w:pStyle w:val="ListParagraph"/>
        <w:numPr>
          <w:ilvl w:val="0"/>
          <w:numId w:val="5"/>
        </w:numPr>
        <w:rPr>
          <w:color w:val="0070C0"/>
          <w:lang w:eastAsia="x-none"/>
        </w:rPr>
      </w:pPr>
      <w:r w:rsidRPr="006F108C">
        <w:rPr>
          <w:color w:val="0070C0"/>
          <w:lang w:eastAsia="x-none"/>
        </w:rPr>
        <w:t>FFS which entity (UE or NG-RAN or MCE) should generate the RAN visible QoE values</w:t>
      </w:r>
    </w:p>
    <w:p w14:paraId="35EF11EC" w14:textId="77777777" w:rsidR="00A26E7F" w:rsidRPr="006F108C" w:rsidRDefault="00A26E7F" w:rsidP="00A1118A">
      <w:pPr>
        <w:pStyle w:val="ListParagraph"/>
        <w:numPr>
          <w:ilvl w:val="0"/>
          <w:numId w:val="5"/>
        </w:numPr>
        <w:rPr>
          <w:color w:val="0070C0"/>
          <w:lang w:eastAsia="x-none"/>
        </w:rPr>
      </w:pPr>
      <w:r w:rsidRPr="006F108C">
        <w:rPr>
          <w:color w:val="0070C0"/>
          <w:lang w:eastAsia="x-none"/>
        </w:rPr>
        <w:t>FFS whether the calculation of RAN visible QoE values is pre-defined in SA4 specifications in case it is agreed that UE has to report the RAN visible QoE values</w:t>
      </w:r>
    </w:p>
    <w:p w14:paraId="2F8F688C" w14:textId="401020EE" w:rsidR="00A26E7F" w:rsidRDefault="00A26E7F" w:rsidP="00A1118A">
      <w:pPr>
        <w:pStyle w:val="ListParagraph"/>
        <w:numPr>
          <w:ilvl w:val="0"/>
          <w:numId w:val="5"/>
        </w:numPr>
        <w:rPr>
          <w:color w:val="0070C0"/>
          <w:lang w:eastAsia="x-none"/>
        </w:rPr>
      </w:pPr>
      <w:r w:rsidRPr="006F108C">
        <w:rPr>
          <w:color w:val="0070C0"/>
          <w:lang w:eastAsia="x-none"/>
        </w:rPr>
        <w:t>FFS whether NG-RAN can configure a threshold/target for RAN visible QoE values, only upon crossing which UE would report the RAN visible QoE values.</w:t>
      </w:r>
    </w:p>
    <w:p w14:paraId="45CC0FEB" w14:textId="408B92D2" w:rsidR="00C8559C" w:rsidRDefault="00C8559C" w:rsidP="00C8559C">
      <w:pPr>
        <w:pStyle w:val="ListParagraph"/>
        <w:rPr>
          <w:color w:val="0070C0"/>
          <w:lang w:eastAsia="x-none"/>
        </w:rPr>
      </w:pPr>
    </w:p>
    <w:p w14:paraId="458C6412" w14:textId="45BCB89C" w:rsidR="00C8559C" w:rsidRPr="001232D5" w:rsidRDefault="00F17DDF" w:rsidP="00F17DDF">
      <w:pPr>
        <w:rPr>
          <w:lang w:eastAsia="x-none"/>
        </w:rPr>
      </w:pPr>
      <w:r w:rsidRPr="001232D5">
        <w:rPr>
          <w:lang w:eastAsia="x-none"/>
        </w:rPr>
        <w:t>The following</w:t>
      </w:r>
      <w:r w:rsidR="00A1118A">
        <w:rPr>
          <w:lang w:eastAsia="x-none"/>
        </w:rPr>
        <w:t xml:space="preserve"> possibilities can be considered in the context of RAN visible QoE values:</w:t>
      </w:r>
    </w:p>
    <w:tbl>
      <w:tblPr>
        <w:tblStyle w:val="TableGrid"/>
        <w:tblW w:w="0" w:type="auto"/>
        <w:tblLook w:val="04A0" w:firstRow="1" w:lastRow="0" w:firstColumn="1" w:lastColumn="0" w:noHBand="0" w:noVBand="1"/>
      </w:tblPr>
      <w:tblGrid>
        <w:gridCol w:w="2515"/>
        <w:gridCol w:w="1800"/>
        <w:gridCol w:w="5035"/>
      </w:tblGrid>
      <w:tr w:rsidR="001232D5" w:rsidRPr="001232D5" w14:paraId="73970A68" w14:textId="77777777" w:rsidTr="005D0502">
        <w:tc>
          <w:tcPr>
            <w:tcW w:w="2515" w:type="dxa"/>
          </w:tcPr>
          <w:p w14:paraId="3B0CB956" w14:textId="3966D08A" w:rsidR="007D1A80" w:rsidRPr="001232D5" w:rsidRDefault="007D1A80" w:rsidP="00644D15">
            <w:pPr>
              <w:rPr>
                <w:lang w:eastAsia="x-none"/>
              </w:rPr>
            </w:pPr>
            <w:r w:rsidRPr="001232D5">
              <w:rPr>
                <w:lang w:eastAsia="x-none"/>
              </w:rPr>
              <w:t>Granularity</w:t>
            </w:r>
            <w:r w:rsidR="00F17DDF" w:rsidRPr="001232D5">
              <w:rPr>
                <w:lang w:eastAsia="x-none"/>
              </w:rPr>
              <w:t xml:space="preserve"> </w:t>
            </w:r>
          </w:p>
        </w:tc>
        <w:tc>
          <w:tcPr>
            <w:tcW w:w="1800" w:type="dxa"/>
          </w:tcPr>
          <w:p w14:paraId="722ED96D" w14:textId="5BCEDB31" w:rsidR="007D1A80" w:rsidRPr="001232D5" w:rsidRDefault="007D1A80" w:rsidP="00644D15">
            <w:pPr>
              <w:rPr>
                <w:lang w:eastAsia="x-none"/>
              </w:rPr>
            </w:pPr>
            <w:r w:rsidRPr="001232D5">
              <w:rPr>
                <w:lang w:eastAsia="x-none"/>
              </w:rPr>
              <w:t>Definition</w:t>
            </w:r>
          </w:p>
        </w:tc>
        <w:tc>
          <w:tcPr>
            <w:tcW w:w="5035" w:type="dxa"/>
          </w:tcPr>
          <w:p w14:paraId="0A582BDA" w14:textId="7B02EBFA" w:rsidR="007D1A80" w:rsidRPr="001232D5" w:rsidRDefault="000A0881" w:rsidP="00644D15">
            <w:pPr>
              <w:rPr>
                <w:lang w:eastAsia="x-none"/>
              </w:rPr>
            </w:pPr>
            <w:r w:rsidRPr="001232D5">
              <w:rPr>
                <w:lang w:eastAsia="x-none"/>
              </w:rPr>
              <w:t>Example</w:t>
            </w:r>
          </w:p>
        </w:tc>
      </w:tr>
      <w:tr w:rsidR="001232D5" w:rsidRPr="001232D5" w14:paraId="50F8A0D9" w14:textId="77777777" w:rsidTr="005D0502">
        <w:tc>
          <w:tcPr>
            <w:tcW w:w="2515" w:type="dxa"/>
          </w:tcPr>
          <w:p w14:paraId="04772B2D" w14:textId="5C62D62F" w:rsidR="007D1A80" w:rsidRPr="001232D5" w:rsidRDefault="007D1A80" w:rsidP="00644D15">
            <w:pPr>
              <w:rPr>
                <w:lang w:eastAsia="x-none"/>
              </w:rPr>
            </w:pPr>
            <w:r w:rsidRPr="001232D5">
              <w:rPr>
                <w:lang w:eastAsia="x-none"/>
              </w:rPr>
              <w:t>Derived information from multiple QoE metrics</w:t>
            </w:r>
          </w:p>
        </w:tc>
        <w:tc>
          <w:tcPr>
            <w:tcW w:w="1800" w:type="dxa"/>
          </w:tcPr>
          <w:p w14:paraId="6AC00655" w14:textId="0EE0066A" w:rsidR="007D1A80" w:rsidRPr="001232D5" w:rsidRDefault="00CC29F3" w:rsidP="00CC29F3">
            <w:pPr>
              <w:rPr>
                <w:lang w:eastAsia="x-none"/>
              </w:rPr>
            </w:pPr>
            <w:r w:rsidRPr="001232D5">
              <w:rPr>
                <w:lang w:eastAsia="x-none"/>
              </w:rPr>
              <w:t>QoE score</w:t>
            </w:r>
          </w:p>
        </w:tc>
        <w:tc>
          <w:tcPr>
            <w:tcW w:w="5035" w:type="dxa"/>
          </w:tcPr>
          <w:p w14:paraId="3A46A71F" w14:textId="209FB4AE" w:rsidR="00CC29F3" w:rsidRPr="001232D5" w:rsidRDefault="00CC29F3" w:rsidP="00CC29F3">
            <w:pPr>
              <w:rPr>
                <w:lang w:eastAsia="x-none"/>
              </w:rPr>
            </w:pPr>
            <w:r w:rsidRPr="001232D5">
              <w:rPr>
                <w:lang w:eastAsia="x-none"/>
              </w:rPr>
              <w:t>For example,</w:t>
            </w:r>
          </w:p>
          <w:p w14:paraId="332DB350" w14:textId="094CD328" w:rsidR="00CC29F3" w:rsidRPr="001232D5" w:rsidRDefault="00CC29F3" w:rsidP="00CC29F3">
            <w:pPr>
              <w:rPr>
                <w:lang w:eastAsia="x-none"/>
              </w:rPr>
            </w:pPr>
            <w:r w:rsidRPr="001232D5">
              <w:rPr>
                <w:lang w:eastAsia="x-none"/>
              </w:rPr>
              <w:t xml:space="preserve">RVQoE </w:t>
            </w:r>
            <w:r w:rsidR="000A0881" w:rsidRPr="001232D5">
              <w:rPr>
                <w:lang w:eastAsia="x-none"/>
              </w:rPr>
              <w:t>value =</w:t>
            </w:r>
            <w:r w:rsidRPr="001232D5">
              <w:rPr>
                <w:lang w:eastAsia="x-none"/>
              </w:rPr>
              <w:t xml:space="preserve">  a* Buffer Level + b* Playout Delay</w:t>
            </w:r>
            <w:r w:rsidR="00D2146D" w:rsidRPr="001232D5">
              <w:rPr>
                <w:lang w:eastAsia="x-none"/>
              </w:rPr>
              <w:t>,</w:t>
            </w:r>
            <w:r w:rsidRPr="001232D5">
              <w:rPr>
                <w:lang w:eastAsia="x-none"/>
              </w:rPr>
              <w:t xml:space="preserve"> </w:t>
            </w:r>
          </w:p>
          <w:p w14:paraId="63BFD26E" w14:textId="375161DF" w:rsidR="007D1A80" w:rsidRPr="001232D5" w:rsidRDefault="00D2146D" w:rsidP="00644D15">
            <w:pPr>
              <w:rPr>
                <w:lang w:eastAsia="x-none"/>
              </w:rPr>
            </w:pPr>
            <w:r w:rsidRPr="001232D5">
              <w:rPr>
                <w:lang w:eastAsia="x-none"/>
              </w:rPr>
              <w:t>where a and b are coefficients for each QoE metric</w:t>
            </w:r>
          </w:p>
        </w:tc>
      </w:tr>
      <w:tr w:rsidR="001232D5" w:rsidRPr="001232D5" w14:paraId="3888E719" w14:textId="77777777" w:rsidTr="005D0502">
        <w:tc>
          <w:tcPr>
            <w:tcW w:w="2515" w:type="dxa"/>
            <w:vMerge w:val="restart"/>
          </w:tcPr>
          <w:p w14:paraId="6D3F8B55" w14:textId="171EBB68" w:rsidR="000A0881" w:rsidRPr="001232D5" w:rsidRDefault="000A0881" w:rsidP="00644D15">
            <w:pPr>
              <w:rPr>
                <w:lang w:eastAsia="x-none"/>
              </w:rPr>
            </w:pPr>
            <w:r w:rsidRPr="001232D5">
              <w:rPr>
                <w:lang w:eastAsia="x-none"/>
              </w:rPr>
              <w:t>Derived information from single QoE metric</w:t>
            </w:r>
          </w:p>
        </w:tc>
        <w:tc>
          <w:tcPr>
            <w:tcW w:w="1800" w:type="dxa"/>
          </w:tcPr>
          <w:p w14:paraId="39D1284D" w14:textId="2C59D58D" w:rsidR="000A0881" w:rsidRPr="001232D5" w:rsidRDefault="000A0881" w:rsidP="002C4D61">
            <w:pPr>
              <w:rPr>
                <w:lang w:eastAsia="x-none"/>
              </w:rPr>
            </w:pPr>
            <w:r w:rsidRPr="001232D5">
              <w:rPr>
                <w:lang w:eastAsia="x-none"/>
              </w:rPr>
              <w:t>QoE score</w:t>
            </w:r>
          </w:p>
        </w:tc>
        <w:tc>
          <w:tcPr>
            <w:tcW w:w="5035" w:type="dxa"/>
          </w:tcPr>
          <w:p w14:paraId="4C4F889B" w14:textId="7BE28716" w:rsidR="000A0881" w:rsidRPr="001232D5" w:rsidRDefault="000A0881" w:rsidP="005D0502">
            <w:pPr>
              <w:rPr>
                <w:lang w:eastAsia="x-none"/>
              </w:rPr>
            </w:pPr>
            <w:r w:rsidRPr="001232D5">
              <w:rPr>
                <w:lang w:eastAsia="x-none"/>
              </w:rPr>
              <w:t xml:space="preserve">If </w:t>
            </w:r>
            <w:r w:rsidRPr="001232D5">
              <w:rPr>
                <w:b/>
                <w:bCs/>
                <w:lang w:eastAsia="x-none"/>
              </w:rPr>
              <w:t>Buffer level &lt; X</w:t>
            </w:r>
            <w:r w:rsidRPr="001232D5">
              <w:rPr>
                <w:lang w:eastAsia="x-none"/>
              </w:rPr>
              <w:t xml:space="preserve"> </w:t>
            </w:r>
          </w:p>
          <w:p w14:paraId="22387256" w14:textId="0984D255" w:rsidR="000A0881" w:rsidRPr="001232D5" w:rsidRDefault="000A0881" w:rsidP="005D0502">
            <w:pPr>
              <w:rPr>
                <w:lang w:eastAsia="x-none"/>
              </w:rPr>
            </w:pPr>
            <w:r w:rsidRPr="001232D5">
              <w:rPr>
                <w:lang w:eastAsia="x-none"/>
              </w:rPr>
              <w:lastRenderedPageBreak/>
              <w:t xml:space="preserve">     RVQoE value  = 1 or “Good”</w:t>
            </w:r>
          </w:p>
          <w:p w14:paraId="6A87006A" w14:textId="3F3D3A9C" w:rsidR="000A0881" w:rsidRPr="001232D5" w:rsidRDefault="000A0881" w:rsidP="005D0502">
            <w:pPr>
              <w:rPr>
                <w:lang w:eastAsia="x-none"/>
              </w:rPr>
            </w:pPr>
            <w:r w:rsidRPr="001232D5">
              <w:rPr>
                <w:lang w:eastAsia="x-none"/>
              </w:rPr>
              <w:t xml:space="preserve">else if </w:t>
            </w:r>
            <w:r w:rsidRPr="001232D5">
              <w:rPr>
                <w:b/>
                <w:bCs/>
                <w:lang w:eastAsia="x-none"/>
              </w:rPr>
              <w:t>X &lt;= Buffer level &lt; Y</w:t>
            </w:r>
          </w:p>
          <w:p w14:paraId="5827E508" w14:textId="1B7C8F0A" w:rsidR="000A0881" w:rsidRPr="001232D5" w:rsidRDefault="000A0881" w:rsidP="005D0502">
            <w:pPr>
              <w:rPr>
                <w:lang w:eastAsia="x-none"/>
              </w:rPr>
            </w:pPr>
            <w:r w:rsidRPr="001232D5">
              <w:rPr>
                <w:lang w:eastAsia="x-none"/>
              </w:rPr>
              <w:t xml:space="preserve">    RVQoE value = 2 or “Medium”</w:t>
            </w:r>
          </w:p>
          <w:p w14:paraId="14882C68" w14:textId="2AFE51C2" w:rsidR="000A0881" w:rsidRPr="001232D5" w:rsidRDefault="000A0881" w:rsidP="005D0502">
            <w:pPr>
              <w:rPr>
                <w:lang w:eastAsia="x-none"/>
              </w:rPr>
            </w:pPr>
            <w:r w:rsidRPr="001232D5">
              <w:rPr>
                <w:lang w:eastAsia="x-none"/>
              </w:rPr>
              <w:t xml:space="preserve">Else if </w:t>
            </w:r>
            <w:r w:rsidRPr="001232D5">
              <w:rPr>
                <w:b/>
                <w:bCs/>
                <w:lang w:eastAsia="x-none"/>
              </w:rPr>
              <w:t>Buffer level &gt;= Y</w:t>
            </w:r>
          </w:p>
          <w:p w14:paraId="6EABB70D" w14:textId="77777777" w:rsidR="000A0881" w:rsidRPr="001232D5" w:rsidRDefault="000A0881" w:rsidP="00263FE3">
            <w:pPr>
              <w:rPr>
                <w:lang w:eastAsia="x-none"/>
              </w:rPr>
            </w:pPr>
            <w:r w:rsidRPr="001232D5">
              <w:rPr>
                <w:lang w:eastAsia="x-none"/>
              </w:rPr>
              <w:t xml:space="preserve">   RVQoE value  = 3 or “Poor”</w:t>
            </w:r>
          </w:p>
          <w:p w14:paraId="2803E585" w14:textId="4A02F632" w:rsidR="000A0881" w:rsidRPr="001232D5" w:rsidRDefault="000A0881" w:rsidP="00263FE3">
            <w:pPr>
              <w:rPr>
                <w:lang w:eastAsia="x-none"/>
              </w:rPr>
            </w:pPr>
          </w:p>
        </w:tc>
      </w:tr>
      <w:tr w:rsidR="001232D5" w:rsidRPr="001232D5" w14:paraId="1FFC106E" w14:textId="77777777" w:rsidTr="005D0502">
        <w:tc>
          <w:tcPr>
            <w:tcW w:w="2515" w:type="dxa"/>
            <w:vMerge/>
          </w:tcPr>
          <w:p w14:paraId="7716845E" w14:textId="77777777" w:rsidR="000A0881" w:rsidRPr="001232D5" w:rsidRDefault="000A0881" w:rsidP="005D0502">
            <w:pPr>
              <w:rPr>
                <w:lang w:eastAsia="x-none"/>
              </w:rPr>
            </w:pPr>
          </w:p>
        </w:tc>
        <w:tc>
          <w:tcPr>
            <w:tcW w:w="1800" w:type="dxa"/>
          </w:tcPr>
          <w:p w14:paraId="5E4BEB49" w14:textId="77777777" w:rsidR="000A0881" w:rsidRPr="001232D5" w:rsidRDefault="000A0881" w:rsidP="005D0502">
            <w:pPr>
              <w:rPr>
                <w:lang w:eastAsia="x-none"/>
              </w:rPr>
            </w:pPr>
            <w:r w:rsidRPr="001232D5">
              <w:rPr>
                <w:lang w:eastAsia="x-none"/>
              </w:rPr>
              <w:t>Alarm e.g., Buffer level alarm</w:t>
            </w:r>
          </w:p>
          <w:p w14:paraId="35E105A2" w14:textId="240523E8" w:rsidR="000A0881" w:rsidRPr="001232D5" w:rsidRDefault="000A0881" w:rsidP="005D0502">
            <w:pPr>
              <w:rPr>
                <w:lang w:eastAsia="x-none"/>
              </w:rPr>
            </w:pPr>
          </w:p>
        </w:tc>
        <w:tc>
          <w:tcPr>
            <w:tcW w:w="5035" w:type="dxa"/>
          </w:tcPr>
          <w:p w14:paraId="634DB615" w14:textId="2F775222" w:rsidR="000A0881" w:rsidRPr="001232D5" w:rsidRDefault="000A0881" w:rsidP="005D0502">
            <w:pPr>
              <w:rPr>
                <w:lang w:eastAsia="x-none"/>
              </w:rPr>
            </w:pPr>
            <w:r w:rsidRPr="001232D5">
              <w:rPr>
                <w:lang w:eastAsia="x-none"/>
              </w:rPr>
              <w:t>If Buffer level &gt; X (</w:t>
            </w:r>
            <w:r w:rsidRPr="001232D5">
              <w:rPr>
                <w:b/>
                <w:bCs/>
                <w:lang w:eastAsia="x-none"/>
              </w:rPr>
              <w:t>pre-defined or configured by NG-RAN</w:t>
            </w:r>
            <w:r w:rsidRPr="001232D5">
              <w:rPr>
                <w:lang w:eastAsia="x-none"/>
              </w:rPr>
              <w:t>)</w:t>
            </w:r>
          </w:p>
          <w:p w14:paraId="14A1D885" w14:textId="73337E59" w:rsidR="000A0881" w:rsidRPr="001232D5" w:rsidRDefault="000A0881" w:rsidP="00975F64">
            <w:pPr>
              <w:rPr>
                <w:lang w:eastAsia="x-none"/>
              </w:rPr>
            </w:pPr>
            <w:r w:rsidRPr="001232D5">
              <w:rPr>
                <w:lang w:eastAsia="x-none"/>
              </w:rPr>
              <w:t xml:space="preserve">       Buffer Level Alarm = “True”</w:t>
            </w:r>
          </w:p>
        </w:tc>
      </w:tr>
      <w:tr w:rsidR="001232D5" w:rsidRPr="001232D5" w14:paraId="15DCE162" w14:textId="77777777" w:rsidTr="005D0502">
        <w:tc>
          <w:tcPr>
            <w:tcW w:w="2515" w:type="dxa"/>
            <w:vMerge/>
          </w:tcPr>
          <w:p w14:paraId="240F0296" w14:textId="77777777" w:rsidR="000A0881" w:rsidRPr="001232D5" w:rsidRDefault="000A0881" w:rsidP="005D0502">
            <w:pPr>
              <w:rPr>
                <w:lang w:eastAsia="x-none"/>
              </w:rPr>
            </w:pPr>
          </w:p>
        </w:tc>
        <w:tc>
          <w:tcPr>
            <w:tcW w:w="1800" w:type="dxa"/>
          </w:tcPr>
          <w:p w14:paraId="6EE2F7ED" w14:textId="579DFB21" w:rsidR="000A0881" w:rsidRPr="001232D5" w:rsidRDefault="000A0881" w:rsidP="005D0502">
            <w:pPr>
              <w:rPr>
                <w:lang w:eastAsia="x-none"/>
              </w:rPr>
            </w:pPr>
            <w:r w:rsidRPr="001232D5">
              <w:rPr>
                <w:lang w:eastAsia="x-none"/>
              </w:rPr>
              <w:t>Statistical information</w:t>
            </w:r>
          </w:p>
        </w:tc>
        <w:tc>
          <w:tcPr>
            <w:tcW w:w="5035" w:type="dxa"/>
          </w:tcPr>
          <w:p w14:paraId="144E2B39" w14:textId="083E16F1" w:rsidR="000A0881" w:rsidRPr="001232D5" w:rsidRDefault="000A0881" w:rsidP="005D0502">
            <w:pPr>
              <w:rPr>
                <w:lang w:eastAsia="x-none"/>
              </w:rPr>
            </w:pPr>
            <w:r w:rsidRPr="001232D5">
              <w:rPr>
                <w:lang w:eastAsia="x-none"/>
              </w:rPr>
              <w:t>Number of stalling events</w:t>
            </w:r>
          </w:p>
        </w:tc>
      </w:tr>
    </w:tbl>
    <w:p w14:paraId="7F260A57" w14:textId="77777777" w:rsidR="007D1A80" w:rsidRDefault="007D1A80" w:rsidP="00644D15">
      <w:pPr>
        <w:rPr>
          <w:color w:val="0070C0"/>
          <w:lang w:eastAsia="x-none"/>
        </w:rPr>
      </w:pPr>
    </w:p>
    <w:p w14:paraId="485A68C5" w14:textId="5B3CC3C1" w:rsidR="007C5A04" w:rsidRDefault="007B6169" w:rsidP="007B6169">
      <w:pPr>
        <w:rPr>
          <w:lang w:val="en-US"/>
        </w:rPr>
      </w:pPr>
      <w:r w:rsidRPr="004B3B5C">
        <w:rPr>
          <w:b/>
          <w:bCs/>
          <w:lang w:val="en-US"/>
        </w:rPr>
        <w:t>Observation</w:t>
      </w:r>
      <w:r w:rsidR="00F17DDF">
        <w:rPr>
          <w:b/>
          <w:bCs/>
          <w:lang w:val="en-US"/>
        </w:rPr>
        <w:t xml:space="preserve"> 1</w:t>
      </w:r>
      <w:r>
        <w:rPr>
          <w:lang w:val="en-US"/>
        </w:rPr>
        <w:t xml:space="preserve">: </w:t>
      </w:r>
      <w:r w:rsidR="00FB6FBE">
        <w:rPr>
          <w:lang w:val="en-US"/>
        </w:rPr>
        <w:t xml:space="preserve">Defining RAN visible QoE values as an objective/qualitative representation of QoE metrics (e.g., on a score of </w:t>
      </w:r>
      <w:r w:rsidR="00052330">
        <w:rPr>
          <w:lang w:val="en-US"/>
        </w:rPr>
        <w:t>0</w:t>
      </w:r>
      <w:r w:rsidR="00FB6FBE">
        <w:rPr>
          <w:lang w:val="en-US"/>
        </w:rPr>
        <w:t>–10, poor/medium/good) requires</w:t>
      </w:r>
      <w:r w:rsidR="00052330">
        <w:rPr>
          <w:lang w:val="en-US"/>
        </w:rPr>
        <w:t xml:space="preserve"> </w:t>
      </w:r>
      <w:r w:rsidR="001B7DF3">
        <w:rPr>
          <w:lang w:val="en-US"/>
        </w:rPr>
        <w:t xml:space="preserve">knowledge of the typical values of QoE metrics and </w:t>
      </w:r>
      <w:r w:rsidR="004B3B5C">
        <w:rPr>
          <w:lang w:val="en-US"/>
        </w:rPr>
        <w:t>the need to define appropriate</w:t>
      </w:r>
      <w:r w:rsidR="001B7DF3">
        <w:rPr>
          <w:lang w:val="en-US"/>
        </w:rPr>
        <w:t xml:space="preserve"> </w:t>
      </w:r>
      <w:r w:rsidR="00052330">
        <w:rPr>
          <w:lang w:val="en-US"/>
        </w:rPr>
        <w:t>formula</w:t>
      </w:r>
      <w:r w:rsidR="001B7DF3">
        <w:rPr>
          <w:lang w:val="en-US"/>
        </w:rPr>
        <w:t>s/thresholds</w:t>
      </w:r>
      <w:r w:rsidR="009E1049">
        <w:rPr>
          <w:lang w:val="en-US"/>
        </w:rPr>
        <w:t>, which is beyond RAN</w:t>
      </w:r>
      <w:r w:rsidR="00F25214">
        <w:rPr>
          <w:lang w:val="en-US"/>
        </w:rPr>
        <w:t>3’s understanding and also extensive work for SA4 if pursued.</w:t>
      </w:r>
    </w:p>
    <w:p w14:paraId="2AAA5B09" w14:textId="29A0FECC" w:rsidR="007868B7" w:rsidRDefault="007868B7" w:rsidP="007B6169">
      <w:pPr>
        <w:rPr>
          <w:lang w:val="en-US"/>
        </w:rPr>
      </w:pPr>
      <w:r w:rsidRPr="00851530">
        <w:rPr>
          <w:b/>
          <w:bCs/>
          <w:lang w:val="en-US"/>
        </w:rPr>
        <w:t>Observation</w:t>
      </w:r>
      <w:r w:rsidR="00F17DDF">
        <w:rPr>
          <w:b/>
          <w:bCs/>
          <w:lang w:val="en-US"/>
        </w:rPr>
        <w:t xml:space="preserve"> 2</w:t>
      </w:r>
      <w:r>
        <w:rPr>
          <w:lang w:val="en-US"/>
        </w:rPr>
        <w:t xml:space="preserve">: Defining RAN visible QoE values based on measurements of multiple metrics is convoluted </w:t>
      </w:r>
      <w:r w:rsidR="00376B20">
        <w:rPr>
          <w:lang w:val="en-US"/>
        </w:rPr>
        <w:t xml:space="preserve">and </w:t>
      </w:r>
      <w:r w:rsidR="00C1239A">
        <w:rPr>
          <w:lang w:val="en-US"/>
        </w:rPr>
        <w:t>it is best to define RVQoE values based on a single metric</w:t>
      </w:r>
    </w:p>
    <w:p w14:paraId="4481D9E3" w14:textId="625DFE27" w:rsidR="00F25214" w:rsidRPr="007B6169" w:rsidRDefault="00F25214" w:rsidP="007B6169">
      <w:pPr>
        <w:rPr>
          <w:lang w:val="en-US"/>
        </w:rPr>
      </w:pPr>
      <w:r>
        <w:rPr>
          <w:lang w:val="en-US"/>
        </w:rPr>
        <w:t>Hence the following is proposed:</w:t>
      </w:r>
    </w:p>
    <w:p w14:paraId="35AB5434" w14:textId="5561BEF3" w:rsidR="00E354F1" w:rsidRDefault="00E354F1" w:rsidP="00E354F1">
      <w:pPr>
        <w:rPr>
          <w:lang w:val="en-US"/>
        </w:rPr>
      </w:pPr>
      <w:r w:rsidRPr="00232110">
        <w:rPr>
          <w:b/>
          <w:bCs/>
          <w:lang w:val="en-US"/>
        </w:rPr>
        <w:t xml:space="preserve">Proposal </w:t>
      </w:r>
      <w:r w:rsidR="00392D6B">
        <w:rPr>
          <w:b/>
          <w:bCs/>
          <w:lang w:val="en-US"/>
        </w:rPr>
        <w:t>1</w:t>
      </w:r>
      <w:r w:rsidRPr="00232110">
        <w:rPr>
          <w:b/>
          <w:bCs/>
          <w:lang w:val="en-US"/>
        </w:rPr>
        <w:t>:</w:t>
      </w:r>
      <w:r w:rsidRPr="00E354F1">
        <w:rPr>
          <w:lang w:val="en-US"/>
        </w:rPr>
        <w:t xml:space="preserve"> There is no need to define any RAN visible QoE values as an objective/qualitative representation of QoE metrics (e.g., on a score of 0-10, poor/medium/good)</w:t>
      </w:r>
      <w:r w:rsidR="006E3690">
        <w:rPr>
          <w:lang w:val="en-US"/>
        </w:rPr>
        <w:t xml:space="preserve">. RAN3 </w:t>
      </w:r>
      <w:r w:rsidR="00392D6B">
        <w:rPr>
          <w:lang w:val="en-US"/>
        </w:rPr>
        <w:t xml:space="preserve">can </w:t>
      </w:r>
      <w:r w:rsidR="00392D6B" w:rsidRPr="006E3690">
        <w:rPr>
          <w:lang w:val="en-US"/>
        </w:rPr>
        <w:t>instead</w:t>
      </w:r>
      <w:r w:rsidR="00392D6B">
        <w:rPr>
          <w:lang w:val="en-US"/>
        </w:rPr>
        <w:t xml:space="preserve"> focus on supporting </w:t>
      </w:r>
      <w:r w:rsidR="006E3690" w:rsidRPr="006E3690">
        <w:rPr>
          <w:lang w:val="en-US"/>
        </w:rPr>
        <w:t xml:space="preserve">RAN visible QoE values which are </w:t>
      </w:r>
      <w:r w:rsidR="00A91D14">
        <w:rPr>
          <w:lang w:val="en-US"/>
        </w:rPr>
        <w:t>statistical</w:t>
      </w:r>
      <w:r w:rsidR="006E3690" w:rsidRPr="006E3690">
        <w:rPr>
          <w:lang w:val="en-US"/>
        </w:rPr>
        <w:t xml:space="preserve"> information derived from legacy QoE metrics</w:t>
      </w:r>
    </w:p>
    <w:p w14:paraId="13B823F6" w14:textId="6885781B" w:rsidR="00C1239A" w:rsidRDefault="00C1239A" w:rsidP="00E354F1">
      <w:pPr>
        <w:rPr>
          <w:lang w:val="en-US"/>
        </w:rPr>
      </w:pPr>
      <w:r w:rsidRPr="00F70B59">
        <w:rPr>
          <w:b/>
          <w:bCs/>
          <w:lang w:val="en-US"/>
        </w:rPr>
        <w:t>Proposal 2:</w:t>
      </w:r>
      <w:r>
        <w:rPr>
          <w:lang w:val="en-US"/>
        </w:rPr>
        <w:t xml:space="preserve"> RAN visible QoE values </w:t>
      </w:r>
      <w:r w:rsidR="004C5214">
        <w:rPr>
          <w:lang w:val="en-US"/>
        </w:rPr>
        <w:t>are</w:t>
      </w:r>
      <w:r>
        <w:rPr>
          <w:lang w:val="en-US"/>
        </w:rPr>
        <w:t xml:space="preserve"> to be calculated based on </w:t>
      </w:r>
      <w:r w:rsidR="00DC1C2B">
        <w:rPr>
          <w:lang w:val="en-US"/>
        </w:rPr>
        <w:t xml:space="preserve">QoE </w:t>
      </w:r>
      <w:r>
        <w:rPr>
          <w:lang w:val="en-US"/>
        </w:rPr>
        <w:t xml:space="preserve">measurements of </w:t>
      </w:r>
      <w:r w:rsidR="00916D7F">
        <w:rPr>
          <w:lang w:val="en-US"/>
        </w:rPr>
        <w:t>a single metric (i.e., not from multiple metrics)</w:t>
      </w:r>
    </w:p>
    <w:p w14:paraId="5A8E70B6" w14:textId="08C7743A" w:rsidR="006E3690" w:rsidRDefault="006E3690" w:rsidP="000D2CE5">
      <w:pPr>
        <w:rPr>
          <w:lang w:val="en-US"/>
        </w:rPr>
      </w:pPr>
      <w:r w:rsidRPr="00A26E7F">
        <w:rPr>
          <w:b/>
          <w:bCs/>
          <w:lang w:val="en-US"/>
        </w:rPr>
        <w:t xml:space="preserve">Proposal </w:t>
      </w:r>
      <w:r w:rsidR="00916D7F">
        <w:rPr>
          <w:b/>
          <w:bCs/>
          <w:lang w:val="en-US"/>
        </w:rPr>
        <w:t>3</w:t>
      </w:r>
      <w:r w:rsidRPr="00A26E7F">
        <w:rPr>
          <w:b/>
          <w:bCs/>
          <w:lang w:val="en-US"/>
        </w:rPr>
        <w:t>:</w:t>
      </w:r>
      <w:r w:rsidRPr="00E354F1">
        <w:rPr>
          <w:lang w:val="en-US"/>
        </w:rPr>
        <w:t xml:space="preserve"> Stalling related information during an application session can be </w:t>
      </w:r>
      <w:r w:rsidR="00F70B59">
        <w:rPr>
          <w:lang w:val="en-US"/>
        </w:rPr>
        <w:t xml:space="preserve">derived from </w:t>
      </w:r>
      <w:r w:rsidR="00645BD9">
        <w:rPr>
          <w:lang w:val="en-US"/>
        </w:rPr>
        <w:t xml:space="preserve">legacy QoE metric </w:t>
      </w:r>
      <w:r w:rsidR="00775ADD">
        <w:rPr>
          <w:lang w:val="en-US"/>
        </w:rPr>
        <w:t>“</w:t>
      </w:r>
      <w:r w:rsidR="00645BD9">
        <w:rPr>
          <w:lang w:val="en-US"/>
        </w:rPr>
        <w:t>Play List</w:t>
      </w:r>
      <w:r w:rsidR="00775ADD">
        <w:rPr>
          <w:lang w:val="en-US"/>
        </w:rPr>
        <w:t>”</w:t>
      </w:r>
      <w:r w:rsidR="00F70B59">
        <w:rPr>
          <w:lang w:val="en-US"/>
        </w:rPr>
        <w:t xml:space="preserve"> and </w:t>
      </w:r>
      <w:r w:rsidRPr="00E354F1">
        <w:rPr>
          <w:lang w:val="en-US"/>
        </w:rPr>
        <w:t xml:space="preserve">supported as </w:t>
      </w:r>
      <w:r w:rsidR="00F248B6">
        <w:rPr>
          <w:lang w:val="en-US"/>
        </w:rPr>
        <w:t xml:space="preserve">a </w:t>
      </w:r>
      <w:r w:rsidRPr="00E354F1">
        <w:rPr>
          <w:lang w:val="en-US"/>
        </w:rPr>
        <w:t>RAN visible QoE value</w:t>
      </w:r>
      <w:r w:rsidR="000D2CE5">
        <w:rPr>
          <w:lang w:val="en-US"/>
        </w:rPr>
        <w:t xml:space="preserve">. </w:t>
      </w:r>
      <w:r w:rsidRPr="00232110">
        <w:rPr>
          <w:lang w:val="en-US"/>
        </w:rPr>
        <w:t>Number of stalling occurrences</w:t>
      </w:r>
      <w:r w:rsidR="000D2CE5">
        <w:rPr>
          <w:lang w:val="en-US"/>
        </w:rPr>
        <w:t xml:space="preserve"> in the last measurement interval can be </w:t>
      </w:r>
      <w:r w:rsidRPr="00232110">
        <w:rPr>
          <w:lang w:val="en-US"/>
        </w:rPr>
        <w:t xml:space="preserve">calculated by counting how many times a stop reason is specified as "rebuffering" in Play List </w:t>
      </w:r>
    </w:p>
    <w:p w14:paraId="7DA39311" w14:textId="4D158CD6" w:rsidR="00E354F1" w:rsidRPr="00E354F1" w:rsidRDefault="00E354F1" w:rsidP="00464E9C">
      <w:pPr>
        <w:rPr>
          <w:lang w:val="en-US"/>
        </w:rPr>
      </w:pPr>
      <w:r w:rsidRPr="00232110">
        <w:rPr>
          <w:b/>
          <w:bCs/>
          <w:lang w:val="en-US"/>
        </w:rPr>
        <w:t>Proposal 4:</w:t>
      </w:r>
      <w:r w:rsidRPr="00E354F1">
        <w:rPr>
          <w:lang w:val="en-US"/>
        </w:rPr>
        <w:t xml:space="preserve"> UE APP should </w:t>
      </w:r>
      <w:r w:rsidR="00464E9C">
        <w:rPr>
          <w:lang w:val="en-US"/>
        </w:rPr>
        <w:t>generate</w:t>
      </w:r>
      <w:r w:rsidR="006044FA">
        <w:rPr>
          <w:lang w:val="en-US"/>
        </w:rPr>
        <w:t xml:space="preserve"> the statistical information </w:t>
      </w:r>
      <w:r w:rsidR="00464E9C">
        <w:rPr>
          <w:lang w:val="en-US"/>
        </w:rPr>
        <w:t xml:space="preserve">or alarms </w:t>
      </w:r>
      <w:r w:rsidR="006044FA">
        <w:rPr>
          <w:lang w:val="en-US"/>
        </w:rPr>
        <w:t xml:space="preserve">which are </w:t>
      </w:r>
      <w:r w:rsidR="00997406">
        <w:rPr>
          <w:lang w:val="en-US"/>
        </w:rPr>
        <w:t>to</w:t>
      </w:r>
      <w:r w:rsidR="00F54102">
        <w:rPr>
          <w:lang w:val="en-US"/>
        </w:rPr>
        <w:t xml:space="preserve"> be </w:t>
      </w:r>
      <w:r w:rsidR="006044FA">
        <w:rPr>
          <w:lang w:val="en-US"/>
        </w:rPr>
        <w:t xml:space="preserve">reported as </w:t>
      </w:r>
      <w:r w:rsidRPr="00E354F1">
        <w:rPr>
          <w:lang w:val="en-US"/>
        </w:rPr>
        <w:t>RAN visible QoE values</w:t>
      </w:r>
      <w:r w:rsidR="00F54102">
        <w:rPr>
          <w:lang w:val="en-US"/>
        </w:rPr>
        <w:t xml:space="preserve"> and indicated to UE AS via AT command</w:t>
      </w:r>
      <w:r w:rsidR="00464E9C">
        <w:rPr>
          <w:lang w:val="en-US"/>
        </w:rPr>
        <w:t>.</w:t>
      </w:r>
      <w:r w:rsidRPr="00E354F1">
        <w:rPr>
          <w:lang w:val="en-US"/>
        </w:rPr>
        <w:t xml:space="preserve"> Send LS to SA4 to confirm.</w:t>
      </w:r>
    </w:p>
    <w:p w14:paraId="36BDF51D" w14:textId="32478DC9" w:rsidR="00E354F1" w:rsidRPr="00E354F1" w:rsidRDefault="00E354F1" w:rsidP="00E354F1">
      <w:pPr>
        <w:rPr>
          <w:lang w:val="en-US"/>
        </w:rPr>
      </w:pPr>
      <w:r w:rsidRPr="00232110">
        <w:rPr>
          <w:b/>
          <w:bCs/>
          <w:lang w:val="en-US"/>
        </w:rPr>
        <w:t xml:space="preserve">Proposal </w:t>
      </w:r>
      <w:r w:rsidR="00622FB2">
        <w:rPr>
          <w:b/>
          <w:bCs/>
          <w:lang w:val="en-US"/>
        </w:rPr>
        <w:t>5</w:t>
      </w:r>
      <w:r w:rsidRPr="00232110">
        <w:rPr>
          <w:b/>
          <w:bCs/>
          <w:lang w:val="en-US"/>
        </w:rPr>
        <w:t>:</w:t>
      </w:r>
      <w:r w:rsidRPr="00E354F1">
        <w:rPr>
          <w:lang w:val="en-US"/>
        </w:rPr>
        <w:t xml:space="preserve"> NG-RAN can optionally configure </w:t>
      </w:r>
      <w:r w:rsidR="00EE115A" w:rsidRPr="00E354F1">
        <w:rPr>
          <w:lang w:val="en-US"/>
        </w:rPr>
        <w:t>an</w:t>
      </w:r>
      <w:r w:rsidRPr="00E354F1">
        <w:rPr>
          <w:lang w:val="en-US"/>
        </w:rPr>
        <w:t xml:space="preserve"> </w:t>
      </w:r>
      <w:r w:rsidR="005D6173">
        <w:rPr>
          <w:lang w:val="en-US"/>
        </w:rPr>
        <w:t>“</w:t>
      </w:r>
      <w:r w:rsidR="00EE115A">
        <w:rPr>
          <w:lang w:val="en-US"/>
        </w:rPr>
        <w:t xml:space="preserve">alarm </w:t>
      </w:r>
      <w:r w:rsidRPr="00E354F1">
        <w:rPr>
          <w:lang w:val="en-US"/>
        </w:rPr>
        <w:t>threshold</w:t>
      </w:r>
      <w:r w:rsidR="005D6173">
        <w:rPr>
          <w:lang w:val="en-US"/>
        </w:rPr>
        <w:t>”</w:t>
      </w:r>
      <w:r w:rsidRPr="00E354F1">
        <w:rPr>
          <w:lang w:val="en-US"/>
        </w:rPr>
        <w:t xml:space="preserve"> for </w:t>
      </w:r>
      <w:r w:rsidR="005D6173">
        <w:rPr>
          <w:lang w:val="en-US"/>
        </w:rPr>
        <w:t xml:space="preserve">each </w:t>
      </w:r>
      <w:r w:rsidRPr="00E354F1">
        <w:rPr>
          <w:lang w:val="en-US"/>
        </w:rPr>
        <w:t>R</w:t>
      </w:r>
      <w:r w:rsidR="00FA5C45">
        <w:rPr>
          <w:lang w:val="en-US"/>
        </w:rPr>
        <w:t>V</w:t>
      </w:r>
      <w:r w:rsidRPr="00E354F1">
        <w:rPr>
          <w:lang w:val="en-US"/>
        </w:rPr>
        <w:t xml:space="preserve">QoE </w:t>
      </w:r>
      <w:r w:rsidR="005D6173">
        <w:rPr>
          <w:lang w:val="en-US"/>
        </w:rPr>
        <w:t>metric</w:t>
      </w:r>
      <w:r w:rsidRPr="00E354F1">
        <w:rPr>
          <w:lang w:val="en-US"/>
        </w:rPr>
        <w:t xml:space="preserve">, upon crossing which UE </w:t>
      </w:r>
      <w:r w:rsidR="00EE115A">
        <w:rPr>
          <w:lang w:val="en-US"/>
        </w:rPr>
        <w:t>reports an alarm for the corresponding RVQoE metric</w:t>
      </w:r>
      <w:r w:rsidR="00FA5C45">
        <w:rPr>
          <w:lang w:val="en-US"/>
        </w:rPr>
        <w:t xml:space="preserve"> instead of reporting the absolute value</w:t>
      </w:r>
    </w:p>
    <w:p w14:paraId="182C6592" w14:textId="77777777" w:rsidR="006312E7" w:rsidRDefault="006312E7" w:rsidP="006312E7">
      <w:pPr>
        <w:pStyle w:val="Heading2"/>
        <w:numPr>
          <w:ilvl w:val="1"/>
          <w:numId w:val="2"/>
        </w:numPr>
        <w:tabs>
          <w:tab w:val="left" w:pos="720"/>
        </w:tabs>
        <w:rPr>
          <w:rFonts w:ascii="Times New Roman" w:hAnsi="Times New Roman"/>
        </w:rPr>
      </w:pPr>
      <w:r>
        <w:rPr>
          <w:rFonts w:ascii="Times New Roman" w:hAnsi="Times New Roman"/>
        </w:rPr>
        <w:t>RVQoE Configuration</w:t>
      </w:r>
    </w:p>
    <w:p w14:paraId="7A415C4A" w14:textId="77777777" w:rsidR="006312E7" w:rsidRPr="006F108C" w:rsidRDefault="006312E7" w:rsidP="00A1118A">
      <w:pPr>
        <w:pStyle w:val="ListParagraph"/>
        <w:numPr>
          <w:ilvl w:val="0"/>
          <w:numId w:val="5"/>
        </w:numPr>
        <w:rPr>
          <w:color w:val="00B050"/>
          <w:lang w:eastAsia="zh-CN"/>
        </w:rPr>
      </w:pPr>
      <w:r w:rsidRPr="006F108C">
        <w:rPr>
          <w:color w:val="00B050"/>
          <w:lang w:eastAsia="zh-CN"/>
        </w:rPr>
        <w:t>In split gNB architecture, gNB-CU should generate the RAN visible QoE configuration.</w:t>
      </w:r>
    </w:p>
    <w:p w14:paraId="387E8350" w14:textId="77777777" w:rsidR="006312E7" w:rsidRPr="006F108C" w:rsidRDefault="006312E7" w:rsidP="00A1118A">
      <w:pPr>
        <w:pStyle w:val="ListParagraph"/>
        <w:numPr>
          <w:ilvl w:val="0"/>
          <w:numId w:val="5"/>
        </w:numPr>
        <w:rPr>
          <w:color w:val="00B050"/>
          <w:lang w:eastAsia="zh-CN"/>
        </w:rPr>
      </w:pPr>
      <w:r w:rsidRPr="006F108C">
        <w:rPr>
          <w:color w:val="00B050"/>
          <w:lang w:eastAsia="zh-CN"/>
        </w:rPr>
        <w:t>RAN Visible QoE and legacy QoE can be configured together or separately. In case RAN visible QoE is configured separately, it can be configured only after configuring legacy QoE.</w:t>
      </w:r>
    </w:p>
    <w:p w14:paraId="6880546C" w14:textId="77777777" w:rsidR="006312E7" w:rsidRPr="006F108C" w:rsidRDefault="006312E7" w:rsidP="00A1118A">
      <w:pPr>
        <w:pStyle w:val="ListParagraph"/>
        <w:numPr>
          <w:ilvl w:val="0"/>
          <w:numId w:val="5"/>
        </w:numPr>
        <w:rPr>
          <w:color w:val="00B050"/>
          <w:lang w:eastAsia="zh-CN"/>
        </w:rPr>
      </w:pPr>
      <w:r w:rsidRPr="006F108C">
        <w:rPr>
          <w:color w:val="00B050"/>
          <w:lang w:eastAsia="zh-CN"/>
        </w:rPr>
        <w:t xml:space="preserve">NG-RAN can release a list of RAN visible QoE configurations while not releasing the corresponding legacy QoE configurations  </w:t>
      </w:r>
    </w:p>
    <w:p w14:paraId="1E33B490" w14:textId="77777777" w:rsidR="006312E7" w:rsidRPr="006F108C" w:rsidRDefault="006312E7" w:rsidP="00A1118A">
      <w:pPr>
        <w:pStyle w:val="ListParagraph"/>
        <w:numPr>
          <w:ilvl w:val="0"/>
          <w:numId w:val="5"/>
        </w:numPr>
        <w:rPr>
          <w:color w:val="00B050"/>
          <w:lang w:eastAsia="zh-CN"/>
        </w:rPr>
      </w:pPr>
      <w:r w:rsidRPr="006F108C">
        <w:rPr>
          <w:color w:val="00B050"/>
          <w:lang w:eastAsia="zh-CN"/>
        </w:rPr>
        <w:t>If the legacy QoE configuration is released, the corresponding RAN visible QoE configuration is released as well</w:t>
      </w:r>
    </w:p>
    <w:p w14:paraId="40A2BF6B" w14:textId="77777777" w:rsidR="006312E7" w:rsidRPr="006F108C" w:rsidRDefault="006312E7" w:rsidP="00A1118A">
      <w:pPr>
        <w:pStyle w:val="ListParagraph"/>
        <w:numPr>
          <w:ilvl w:val="0"/>
          <w:numId w:val="5"/>
        </w:numPr>
        <w:rPr>
          <w:b/>
          <w:bCs/>
          <w:color w:val="00B050"/>
          <w:lang w:eastAsia="zh-CN"/>
        </w:rPr>
      </w:pPr>
      <w:r w:rsidRPr="006F108C">
        <w:rPr>
          <w:color w:val="00B050"/>
          <w:lang w:eastAsia="zh-CN"/>
        </w:rPr>
        <w:lastRenderedPageBreak/>
        <w:t>RAN visible QoE configuration can include at least the RAN visible QoE metrics to be reported, service type and a measurement ID for the RAN visible QoE. Whether existing IEs can be reused for service type and measurement ID and the signaling design is up to RAN2</w:t>
      </w:r>
    </w:p>
    <w:p w14:paraId="3E96542C" w14:textId="77F9E30E" w:rsidR="006312E7" w:rsidRPr="00B35E9D" w:rsidRDefault="006312E7" w:rsidP="00A1118A">
      <w:pPr>
        <w:pStyle w:val="ListParagraph"/>
        <w:numPr>
          <w:ilvl w:val="0"/>
          <w:numId w:val="5"/>
        </w:numPr>
        <w:rPr>
          <w:b/>
          <w:bCs/>
          <w:color w:val="00B050"/>
          <w:lang w:eastAsia="zh-CN"/>
        </w:rPr>
      </w:pPr>
      <w:r w:rsidRPr="006F108C">
        <w:rPr>
          <w:color w:val="00B050"/>
          <w:lang w:eastAsia="zh-CN"/>
        </w:rPr>
        <w:t>There is no need to consider Start Time, Duration and Sample Percentage in the RAN Visible QoE configuration in Rel-17</w:t>
      </w:r>
    </w:p>
    <w:p w14:paraId="389309F6" w14:textId="77777777" w:rsidR="00B35E9D" w:rsidRPr="0040437D" w:rsidRDefault="00B35E9D" w:rsidP="00A1118A">
      <w:pPr>
        <w:pStyle w:val="ListParagraph"/>
        <w:numPr>
          <w:ilvl w:val="0"/>
          <w:numId w:val="5"/>
        </w:numPr>
        <w:rPr>
          <w:color w:val="00B050"/>
          <w:lang w:eastAsia="zh-CN"/>
        </w:rPr>
      </w:pPr>
      <w:r w:rsidRPr="0040437D">
        <w:rPr>
          <w:color w:val="00B050"/>
          <w:lang w:eastAsia="zh-CN"/>
        </w:rPr>
        <w:t>RAN3 should discuss whether the existing identified RAN visible QoE metrics (or values if agreed) justifies the need of a separate reporting periodicity for RAN visible QoE</w:t>
      </w:r>
    </w:p>
    <w:p w14:paraId="7BF1EB7E" w14:textId="0DFE5E18" w:rsidR="00B35E9D" w:rsidRDefault="00B35E9D" w:rsidP="00A1118A">
      <w:pPr>
        <w:pStyle w:val="ListParagraph"/>
        <w:numPr>
          <w:ilvl w:val="0"/>
          <w:numId w:val="5"/>
        </w:numPr>
        <w:rPr>
          <w:color w:val="00B050"/>
          <w:lang w:eastAsia="zh-CN"/>
        </w:rPr>
      </w:pPr>
      <w:r w:rsidRPr="006F108C">
        <w:rPr>
          <w:color w:val="00B050"/>
          <w:lang w:eastAsia="zh-CN"/>
        </w:rPr>
        <w:t>RAN3’s decision on whether to have a different reporting periodicity for RAN visible QoE is independent of RAN2’s decision on which SRB to use for RAN visible QoE</w:t>
      </w:r>
    </w:p>
    <w:p w14:paraId="44E45FA8" w14:textId="77777777" w:rsidR="00FD5C10" w:rsidRPr="00FD5C10" w:rsidRDefault="00FD5C10" w:rsidP="00A1118A">
      <w:pPr>
        <w:pStyle w:val="ListParagraph"/>
        <w:numPr>
          <w:ilvl w:val="0"/>
          <w:numId w:val="5"/>
        </w:numPr>
        <w:rPr>
          <w:strike/>
          <w:color w:val="00B050"/>
          <w:lang w:eastAsia="zh-CN"/>
        </w:rPr>
      </w:pPr>
      <w:r w:rsidRPr="00FD5C10">
        <w:rPr>
          <w:strike/>
          <w:color w:val="00B050"/>
          <w:lang w:eastAsia="zh-CN"/>
        </w:rPr>
        <w:t>Send an LS to SA4 checking the feasibility of supporting a different reporting periodicity for RAN visible QoE metrics, from the application perspective.</w:t>
      </w:r>
    </w:p>
    <w:p w14:paraId="2827EFD5" w14:textId="77777777" w:rsidR="006312E7" w:rsidRPr="006F108C" w:rsidRDefault="006312E7" w:rsidP="00A1118A">
      <w:pPr>
        <w:pStyle w:val="ListParagraph"/>
        <w:numPr>
          <w:ilvl w:val="0"/>
          <w:numId w:val="5"/>
        </w:numPr>
        <w:rPr>
          <w:color w:val="4472C4" w:themeColor="accent1"/>
          <w:lang w:eastAsia="zh-CN"/>
        </w:rPr>
      </w:pPr>
      <w:r w:rsidRPr="006F108C">
        <w:rPr>
          <w:color w:val="4472C4" w:themeColor="accent1"/>
          <w:lang w:eastAsia="zh-CN"/>
        </w:rPr>
        <w:t>FFS whether to define event triggers in RAN visible QoE configuration.</w:t>
      </w:r>
    </w:p>
    <w:p w14:paraId="1F287BAC" w14:textId="205B8F55" w:rsidR="006312E7" w:rsidRDefault="006312E7" w:rsidP="00A1118A">
      <w:pPr>
        <w:pStyle w:val="ListParagraph"/>
        <w:numPr>
          <w:ilvl w:val="0"/>
          <w:numId w:val="5"/>
        </w:numPr>
        <w:rPr>
          <w:color w:val="C45911" w:themeColor="accent2" w:themeShade="BF"/>
          <w:lang w:eastAsia="x-none"/>
        </w:rPr>
      </w:pPr>
      <w:r w:rsidRPr="006F108C">
        <w:rPr>
          <w:color w:val="C45911" w:themeColor="accent2" w:themeShade="BF"/>
          <w:lang w:eastAsia="x-none"/>
        </w:rPr>
        <w:t xml:space="preserve">WA: If the legacy QoE configuration is paused/resumed, the corresponding RVQOE configuration is paused/resumed as well </w:t>
      </w:r>
    </w:p>
    <w:p w14:paraId="739684B2" w14:textId="5B62EBD4" w:rsidR="00F17DDF" w:rsidRPr="00E63F79" w:rsidRDefault="00A42821" w:rsidP="00F17DDF">
      <w:pPr>
        <w:rPr>
          <w:lang w:eastAsia="x-none"/>
        </w:rPr>
      </w:pPr>
      <w:r w:rsidRPr="00E63F79">
        <w:rPr>
          <w:lang w:eastAsia="x-none"/>
        </w:rPr>
        <w:t>In the last meeting, it was proposed to also consider non-QoE metric related event triggers e.g., during a handover</w:t>
      </w:r>
      <w:r w:rsidR="00E63F79" w:rsidRPr="00E63F79">
        <w:rPr>
          <w:lang w:eastAsia="x-none"/>
        </w:rPr>
        <w:t>. For the sake of simpl</w:t>
      </w:r>
      <w:r w:rsidR="00654241">
        <w:rPr>
          <w:lang w:eastAsia="x-none"/>
        </w:rPr>
        <w:t xml:space="preserve">icity, we propose to not consider any </w:t>
      </w:r>
      <w:r w:rsidR="00F678FA">
        <w:rPr>
          <w:lang w:eastAsia="x-none"/>
        </w:rPr>
        <w:t xml:space="preserve">such </w:t>
      </w:r>
      <w:r w:rsidR="00D54F9A">
        <w:rPr>
          <w:lang w:eastAsia="x-none"/>
        </w:rPr>
        <w:t xml:space="preserve">event </w:t>
      </w:r>
      <w:r w:rsidR="00F678FA">
        <w:rPr>
          <w:lang w:eastAsia="x-none"/>
        </w:rPr>
        <w:t>triggers in Rel-17.</w:t>
      </w:r>
    </w:p>
    <w:p w14:paraId="38903220" w14:textId="4A06DB1B" w:rsidR="005A730A" w:rsidRDefault="005A730A" w:rsidP="005A730A">
      <w:pPr>
        <w:rPr>
          <w:color w:val="000000" w:themeColor="text1"/>
          <w:lang w:eastAsia="x-none"/>
        </w:rPr>
      </w:pPr>
      <w:r w:rsidRPr="00A5546B">
        <w:rPr>
          <w:b/>
          <w:bCs/>
          <w:color w:val="000000" w:themeColor="text1"/>
          <w:lang w:eastAsia="x-none"/>
        </w:rPr>
        <w:t xml:space="preserve">Proposal </w:t>
      </w:r>
      <w:r w:rsidR="00C33346">
        <w:rPr>
          <w:b/>
          <w:bCs/>
          <w:color w:val="000000" w:themeColor="text1"/>
          <w:lang w:eastAsia="x-none"/>
        </w:rPr>
        <w:t>6</w:t>
      </w:r>
      <w:r w:rsidRPr="00A5546B">
        <w:rPr>
          <w:b/>
          <w:bCs/>
          <w:color w:val="000000" w:themeColor="text1"/>
          <w:lang w:eastAsia="x-none"/>
        </w:rPr>
        <w:t>:</w:t>
      </w:r>
      <w:r w:rsidRPr="005A730A">
        <w:rPr>
          <w:color w:val="000000" w:themeColor="text1"/>
          <w:lang w:eastAsia="x-none"/>
        </w:rPr>
        <w:t xml:space="preserve"> There is no need to define any event triggers </w:t>
      </w:r>
      <w:r w:rsidR="00654241">
        <w:rPr>
          <w:color w:val="000000" w:themeColor="text1"/>
          <w:lang w:eastAsia="x-none"/>
        </w:rPr>
        <w:t xml:space="preserve">(except alarm thresholds if agreed in Proposal 5) </w:t>
      </w:r>
      <w:r w:rsidRPr="005A730A">
        <w:rPr>
          <w:color w:val="000000" w:themeColor="text1"/>
          <w:lang w:eastAsia="x-none"/>
        </w:rPr>
        <w:t>in RAN visible QoE configuration</w:t>
      </w:r>
    </w:p>
    <w:p w14:paraId="78BF8D0F" w14:textId="5393EB77" w:rsidR="00211E4E" w:rsidRPr="005A730A" w:rsidRDefault="00211E4E" w:rsidP="005A730A">
      <w:pPr>
        <w:rPr>
          <w:color w:val="000000" w:themeColor="text1"/>
          <w:lang w:eastAsia="x-none"/>
        </w:rPr>
      </w:pPr>
      <w:r w:rsidRPr="00211E4E">
        <w:rPr>
          <w:color w:val="000000" w:themeColor="text1"/>
          <w:lang w:eastAsia="x-none"/>
        </w:rPr>
        <w:t xml:space="preserve">Enabling separate reporting periodicities for RVQoE will add to the processing complexities and increase storage requirements at UE Application to handle RVQoE and legacy QoE independently. We therefore propose to not define a </w:t>
      </w:r>
      <w:r>
        <w:rPr>
          <w:color w:val="000000" w:themeColor="text1"/>
          <w:lang w:eastAsia="x-none"/>
        </w:rPr>
        <w:t>separate r</w:t>
      </w:r>
      <w:r w:rsidRPr="00211E4E">
        <w:rPr>
          <w:color w:val="000000" w:themeColor="text1"/>
          <w:lang w:eastAsia="x-none"/>
        </w:rPr>
        <w:t xml:space="preserve">eporting </w:t>
      </w:r>
      <w:r>
        <w:rPr>
          <w:color w:val="000000" w:themeColor="text1"/>
          <w:lang w:eastAsia="x-none"/>
        </w:rPr>
        <w:t>periodicity</w:t>
      </w:r>
      <w:r w:rsidRPr="00211E4E">
        <w:rPr>
          <w:color w:val="000000" w:themeColor="text1"/>
          <w:lang w:eastAsia="x-none"/>
        </w:rPr>
        <w:t xml:space="preserve"> fo</w:t>
      </w:r>
      <w:r>
        <w:rPr>
          <w:color w:val="000000" w:themeColor="text1"/>
          <w:lang w:eastAsia="x-none"/>
        </w:rPr>
        <w:t>r RAN visible QoE.</w:t>
      </w:r>
    </w:p>
    <w:p w14:paraId="3AB3DF13" w14:textId="049D29E6" w:rsidR="005A730A" w:rsidRPr="005A730A" w:rsidRDefault="005A730A" w:rsidP="005A730A">
      <w:pPr>
        <w:rPr>
          <w:color w:val="000000" w:themeColor="text1"/>
          <w:lang w:eastAsia="x-none"/>
        </w:rPr>
      </w:pPr>
      <w:r w:rsidRPr="00A5546B">
        <w:rPr>
          <w:b/>
          <w:bCs/>
          <w:color w:val="000000" w:themeColor="text1"/>
          <w:lang w:eastAsia="x-none"/>
        </w:rPr>
        <w:t xml:space="preserve">Proposal </w:t>
      </w:r>
      <w:r w:rsidR="00C33346">
        <w:rPr>
          <w:b/>
          <w:bCs/>
          <w:color w:val="000000" w:themeColor="text1"/>
          <w:lang w:eastAsia="x-none"/>
        </w:rPr>
        <w:t>7</w:t>
      </w:r>
      <w:r w:rsidRPr="00A5546B">
        <w:rPr>
          <w:b/>
          <w:bCs/>
          <w:color w:val="000000" w:themeColor="text1"/>
          <w:lang w:eastAsia="x-none"/>
        </w:rPr>
        <w:t>:</w:t>
      </w:r>
      <w:r w:rsidRPr="005A730A">
        <w:rPr>
          <w:color w:val="000000" w:themeColor="text1"/>
          <w:lang w:eastAsia="x-none"/>
        </w:rPr>
        <w:t xml:space="preserve"> There is no need to define a separate reporting periodicity for RAN visible QoE</w:t>
      </w:r>
    </w:p>
    <w:p w14:paraId="09C9B8D1" w14:textId="368AF39E" w:rsidR="005A730A" w:rsidRPr="005A730A" w:rsidRDefault="005A730A" w:rsidP="005A730A">
      <w:pPr>
        <w:rPr>
          <w:color w:val="000000" w:themeColor="text1"/>
          <w:lang w:eastAsia="x-none"/>
        </w:rPr>
      </w:pPr>
      <w:r w:rsidRPr="00A5546B">
        <w:rPr>
          <w:b/>
          <w:bCs/>
          <w:color w:val="000000" w:themeColor="text1"/>
          <w:lang w:eastAsia="x-none"/>
        </w:rPr>
        <w:t xml:space="preserve">Proposal </w:t>
      </w:r>
      <w:r w:rsidR="00C33346">
        <w:rPr>
          <w:b/>
          <w:bCs/>
          <w:color w:val="000000" w:themeColor="text1"/>
          <w:lang w:eastAsia="x-none"/>
        </w:rPr>
        <w:t>8</w:t>
      </w:r>
      <w:r w:rsidRPr="00A5546B">
        <w:rPr>
          <w:b/>
          <w:bCs/>
          <w:color w:val="000000" w:themeColor="text1"/>
          <w:lang w:eastAsia="x-none"/>
        </w:rPr>
        <w:t>:</w:t>
      </w:r>
      <w:r w:rsidRPr="005A730A">
        <w:rPr>
          <w:color w:val="000000" w:themeColor="text1"/>
          <w:lang w:eastAsia="x-none"/>
        </w:rPr>
        <w:t xml:space="preserve"> Convert the following WA into agreement: </w:t>
      </w:r>
    </w:p>
    <w:p w14:paraId="51F3FC8C" w14:textId="1AC3E918" w:rsidR="006312E7" w:rsidRPr="005A730A" w:rsidRDefault="005A730A" w:rsidP="005A730A">
      <w:pPr>
        <w:rPr>
          <w:color w:val="000000" w:themeColor="text1"/>
          <w:lang w:eastAsia="x-none"/>
        </w:rPr>
      </w:pPr>
      <w:r w:rsidRPr="005A730A">
        <w:rPr>
          <w:color w:val="000000" w:themeColor="text1"/>
          <w:lang w:eastAsia="x-none"/>
        </w:rPr>
        <w:t xml:space="preserve">         WA: If the legacy QoE configuration is paused/resumed, the corresponding RVQOE configuration is paused/resumed as well</w:t>
      </w:r>
    </w:p>
    <w:p w14:paraId="2A61CE22" w14:textId="5B153092" w:rsidR="00B572BB" w:rsidRDefault="00A52669" w:rsidP="00B572BB">
      <w:pPr>
        <w:pStyle w:val="Heading2"/>
        <w:numPr>
          <w:ilvl w:val="1"/>
          <w:numId w:val="2"/>
        </w:numPr>
        <w:tabs>
          <w:tab w:val="left" w:pos="720"/>
        </w:tabs>
        <w:rPr>
          <w:rFonts w:ascii="Times New Roman" w:hAnsi="Times New Roman"/>
        </w:rPr>
      </w:pPr>
      <w:r>
        <w:rPr>
          <w:rFonts w:ascii="Times New Roman" w:hAnsi="Times New Roman"/>
        </w:rPr>
        <w:t>RVQoE report</w:t>
      </w:r>
    </w:p>
    <w:p w14:paraId="13B23193" w14:textId="58265A0A" w:rsidR="007311EC" w:rsidRPr="006F108C" w:rsidRDefault="007311EC" w:rsidP="00A1118A">
      <w:pPr>
        <w:pStyle w:val="ListParagraph"/>
        <w:numPr>
          <w:ilvl w:val="0"/>
          <w:numId w:val="5"/>
        </w:numPr>
        <w:rPr>
          <w:b/>
          <w:bCs/>
          <w:color w:val="0070C0"/>
          <w:lang w:eastAsia="zh-CN"/>
        </w:rPr>
      </w:pPr>
      <w:r w:rsidRPr="006F108C">
        <w:rPr>
          <w:color w:val="0070C0"/>
          <w:lang w:eastAsia="zh-CN"/>
        </w:rPr>
        <w:t>FFS whether RAN visible QoE and legacy QoE can be reported separately or should be always reported together. Note: This depends on whether a separate reporting periodicity is agreed to be defined in RAN visible QoE configuration.</w:t>
      </w:r>
    </w:p>
    <w:p w14:paraId="693F5CE4" w14:textId="4B1AD67F" w:rsidR="0020333B" w:rsidRDefault="0020333B" w:rsidP="0020333B">
      <w:pPr>
        <w:rPr>
          <w:color w:val="000000" w:themeColor="text1"/>
          <w:lang w:eastAsia="x-none"/>
        </w:rPr>
      </w:pPr>
      <w:r w:rsidRPr="00FD5C10">
        <w:rPr>
          <w:b/>
          <w:bCs/>
          <w:color w:val="000000" w:themeColor="text1"/>
          <w:lang w:eastAsia="x-none"/>
        </w:rPr>
        <w:t xml:space="preserve">Proposal </w:t>
      </w:r>
      <w:r w:rsidR="00C33346">
        <w:rPr>
          <w:b/>
          <w:bCs/>
          <w:color w:val="000000" w:themeColor="text1"/>
          <w:lang w:eastAsia="x-none"/>
        </w:rPr>
        <w:t>9</w:t>
      </w:r>
      <w:r w:rsidRPr="00FD5C10">
        <w:rPr>
          <w:b/>
          <w:bCs/>
          <w:color w:val="000000" w:themeColor="text1"/>
          <w:lang w:eastAsia="x-none"/>
        </w:rPr>
        <w:t>:</w:t>
      </w:r>
      <w:r w:rsidRPr="0020333B">
        <w:rPr>
          <w:color w:val="000000" w:themeColor="text1"/>
          <w:lang w:eastAsia="x-none"/>
        </w:rPr>
        <w:t xml:space="preserve"> RAN visible QoE should always be reported together with legacy QoE</w:t>
      </w:r>
    </w:p>
    <w:p w14:paraId="782CF460" w14:textId="4B23D575" w:rsidR="00F42EF5" w:rsidRDefault="00F42EF5" w:rsidP="008300AC">
      <w:pPr>
        <w:pStyle w:val="Heading2"/>
        <w:numPr>
          <w:ilvl w:val="1"/>
          <w:numId w:val="2"/>
        </w:numPr>
        <w:tabs>
          <w:tab w:val="left" w:pos="720"/>
        </w:tabs>
        <w:rPr>
          <w:rFonts w:ascii="Times New Roman" w:hAnsi="Times New Roman"/>
        </w:rPr>
      </w:pPr>
      <w:r>
        <w:rPr>
          <w:rFonts w:ascii="Times New Roman" w:hAnsi="Times New Roman"/>
        </w:rPr>
        <w:t>Per slice RVQoE</w:t>
      </w:r>
    </w:p>
    <w:p w14:paraId="7FF7D4B9" w14:textId="4357FCE7" w:rsidR="00A06BA0" w:rsidRPr="00A06BA0" w:rsidRDefault="00A06BA0" w:rsidP="00A06BA0">
      <w:pPr>
        <w:pStyle w:val="ListParagraph"/>
        <w:numPr>
          <w:ilvl w:val="0"/>
          <w:numId w:val="5"/>
        </w:numPr>
        <w:rPr>
          <w:color w:val="00B050"/>
          <w:lang w:eastAsia="x-none"/>
        </w:rPr>
      </w:pPr>
      <w:r w:rsidRPr="00A06BA0">
        <w:rPr>
          <w:color w:val="00B050"/>
          <w:lang w:eastAsia="x-none"/>
        </w:rPr>
        <w:t>RAN3 assumes that slice ID is included inside the transparent QoE reporting container, which is up to SA4’s decision. LS to SA4 on the support of including slice ID in the QoE reporting container in R3-216225</w:t>
      </w:r>
    </w:p>
    <w:p w14:paraId="063C1ED4" w14:textId="0DAABC7C" w:rsidR="00A06BA0" w:rsidRPr="001B0484" w:rsidRDefault="00A06BA0" w:rsidP="00237F48">
      <w:pPr>
        <w:pStyle w:val="ListParagraph"/>
        <w:numPr>
          <w:ilvl w:val="0"/>
          <w:numId w:val="5"/>
        </w:numPr>
        <w:rPr>
          <w:color w:val="00B050"/>
          <w:lang w:eastAsia="x-none"/>
        </w:rPr>
      </w:pPr>
      <w:r w:rsidRPr="001B0484">
        <w:rPr>
          <w:color w:val="00B050"/>
          <w:lang w:eastAsia="x-none"/>
        </w:rPr>
        <w:t xml:space="preserve">There is no need to include slice ID as an explicit IE over Uu outside the QoE configuration and reporting container for legacy QoE. </w:t>
      </w:r>
      <w:r w:rsidRPr="001B0484">
        <w:rPr>
          <w:color w:val="0070C0"/>
          <w:lang w:eastAsia="x-none"/>
        </w:rPr>
        <w:t>FFS whether and how to support per slice RVQoE configuration and reporting.</w:t>
      </w:r>
    </w:p>
    <w:p w14:paraId="38C0D507" w14:textId="1EF709B5" w:rsidR="00F42EF5" w:rsidRPr="00A06BA0" w:rsidRDefault="00F42EF5" w:rsidP="00A06BA0">
      <w:pPr>
        <w:pStyle w:val="ListParagraph"/>
        <w:numPr>
          <w:ilvl w:val="0"/>
          <w:numId w:val="5"/>
        </w:numPr>
        <w:rPr>
          <w:color w:val="C45911" w:themeColor="accent2" w:themeShade="BF"/>
          <w:lang w:eastAsia="x-none"/>
        </w:rPr>
      </w:pPr>
      <w:r w:rsidRPr="00A06BA0">
        <w:rPr>
          <w:color w:val="C45911" w:themeColor="accent2" w:themeShade="BF"/>
          <w:lang w:eastAsia="x-none"/>
        </w:rPr>
        <w:t>WA: Include PDU or QoS related information in RVQoE report</w:t>
      </w:r>
    </w:p>
    <w:p w14:paraId="20B1BDF7" w14:textId="690CEFB8" w:rsidR="001D43EB" w:rsidRPr="0020333B" w:rsidRDefault="001D43EB" w:rsidP="0020333B">
      <w:pPr>
        <w:rPr>
          <w:color w:val="000000" w:themeColor="text1"/>
          <w:lang w:eastAsia="x-none"/>
        </w:rPr>
      </w:pPr>
      <w:r w:rsidRPr="001D43EB">
        <w:rPr>
          <w:color w:val="000000" w:themeColor="text1"/>
          <w:lang w:eastAsia="x-none"/>
        </w:rPr>
        <w:t xml:space="preserve">Application layer is aware of </w:t>
      </w:r>
      <w:r w:rsidR="00AA592C">
        <w:rPr>
          <w:color w:val="000000" w:themeColor="text1"/>
          <w:lang w:eastAsia="x-none"/>
        </w:rPr>
        <w:t xml:space="preserve">the </w:t>
      </w:r>
      <w:r w:rsidRPr="001D43EB">
        <w:rPr>
          <w:color w:val="000000" w:themeColor="text1"/>
          <w:lang w:eastAsia="x-none"/>
        </w:rPr>
        <w:t xml:space="preserve">PDU sessions and slices, so when it </w:t>
      </w:r>
      <w:r w:rsidR="00111248" w:rsidRPr="001D43EB">
        <w:rPr>
          <w:color w:val="000000" w:themeColor="text1"/>
          <w:lang w:eastAsia="x-none"/>
        </w:rPr>
        <w:t>needs</w:t>
      </w:r>
      <w:r w:rsidRPr="001D43EB">
        <w:rPr>
          <w:color w:val="000000" w:themeColor="text1"/>
          <w:lang w:eastAsia="x-none"/>
        </w:rPr>
        <w:t xml:space="preserve"> to report QoE, it can </w:t>
      </w:r>
      <w:r w:rsidR="005309DF">
        <w:rPr>
          <w:color w:val="000000" w:themeColor="text1"/>
          <w:lang w:eastAsia="x-none"/>
        </w:rPr>
        <w:t>include</w:t>
      </w:r>
      <w:r w:rsidRPr="001D43EB">
        <w:rPr>
          <w:color w:val="000000" w:themeColor="text1"/>
          <w:lang w:eastAsia="x-none"/>
        </w:rPr>
        <w:t xml:space="preserve"> PDU session </w:t>
      </w:r>
      <w:r w:rsidR="005309DF">
        <w:rPr>
          <w:color w:val="000000" w:themeColor="text1"/>
          <w:lang w:eastAsia="x-none"/>
        </w:rPr>
        <w:t xml:space="preserve">ID </w:t>
      </w:r>
      <w:r w:rsidRPr="001D43EB">
        <w:rPr>
          <w:color w:val="000000" w:themeColor="text1"/>
          <w:lang w:eastAsia="x-none"/>
        </w:rPr>
        <w:t xml:space="preserve">together with RAN visible </w:t>
      </w:r>
      <w:r w:rsidR="005309DF">
        <w:rPr>
          <w:color w:val="000000" w:themeColor="text1"/>
          <w:lang w:eastAsia="x-none"/>
        </w:rPr>
        <w:t xml:space="preserve">QoE </w:t>
      </w:r>
      <w:r w:rsidRPr="001D43EB">
        <w:rPr>
          <w:color w:val="000000" w:themeColor="text1"/>
          <w:lang w:eastAsia="x-none"/>
        </w:rPr>
        <w:t>metrics</w:t>
      </w:r>
      <w:r w:rsidR="005309DF">
        <w:rPr>
          <w:color w:val="000000" w:themeColor="text1"/>
          <w:lang w:eastAsia="x-none"/>
        </w:rPr>
        <w:t>.</w:t>
      </w:r>
      <w:r w:rsidR="00F314D3">
        <w:rPr>
          <w:color w:val="000000" w:themeColor="text1"/>
          <w:lang w:eastAsia="x-none"/>
        </w:rPr>
        <w:t xml:space="preserve"> </w:t>
      </w:r>
      <w:r w:rsidRPr="001D43EB">
        <w:rPr>
          <w:color w:val="000000" w:themeColor="text1"/>
          <w:lang w:eastAsia="x-none"/>
        </w:rPr>
        <w:t xml:space="preserve">UE AS need </w:t>
      </w:r>
      <w:r w:rsidR="005309DF">
        <w:rPr>
          <w:color w:val="000000" w:themeColor="text1"/>
          <w:lang w:eastAsia="x-none"/>
        </w:rPr>
        <w:t>not</w:t>
      </w:r>
      <w:r w:rsidRPr="001D43EB">
        <w:rPr>
          <w:color w:val="000000" w:themeColor="text1"/>
          <w:lang w:eastAsia="x-none"/>
        </w:rPr>
        <w:t xml:space="preserve"> know the mapping between an application session to a DRB/PDU session, </w:t>
      </w:r>
      <w:r w:rsidR="00111248">
        <w:rPr>
          <w:color w:val="000000" w:themeColor="text1"/>
          <w:lang w:eastAsia="x-none"/>
        </w:rPr>
        <w:t xml:space="preserve">it </w:t>
      </w:r>
      <w:r w:rsidRPr="001D43EB">
        <w:rPr>
          <w:color w:val="000000" w:themeColor="text1"/>
          <w:lang w:eastAsia="x-none"/>
        </w:rPr>
        <w:t xml:space="preserve">just </w:t>
      </w:r>
      <w:r w:rsidR="00111248" w:rsidRPr="001D43EB">
        <w:rPr>
          <w:color w:val="000000" w:themeColor="text1"/>
          <w:lang w:eastAsia="x-none"/>
        </w:rPr>
        <w:t>needs</w:t>
      </w:r>
      <w:r w:rsidRPr="001D43EB">
        <w:rPr>
          <w:color w:val="000000" w:themeColor="text1"/>
          <w:lang w:eastAsia="x-none"/>
        </w:rPr>
        <w:t xml:space="preserve"> to transfer the PDU session </w:t>
      </w:r>
      <w:r w:rsidR="00111248">
        <w:rPr>
          <w:color w:val="000000" w:themeColor="text1"/>
          <w:lang w:eastAsia="x-none"/>
        </w:rPr>
        <w:t>ID</w:t>
      </w:r>
      <w:r w:rsidRPr="001D43EB">
        <w:rPr>
          <w:color w:val="000000" w:themeColor="text1"/>
          <w:lang w:eastAsia="x-none"/>
        </w:rPr>
        <w:t xml:space="preserve"> and RVQoE metrics to gNB. gNB can get the mapping for PDU session to DRBs/QoS flows.</w:t>
      </w:r>
    </w:p>
    <w:p w14:paraId="0E97DD63" w14:textId="04DAF2DE" w:rsidR="0020333B" w:rsidRPr="0020333B" w:rsidRDefault="0020333B" w:rsidP="0020333B">
      <w:pPr>
        <w:rPr>
          <w:color w:val="000000" w:themeColor="text1"/>
          <w:lang w:eastAsia="x-none"/>
        </w:rPr>
      </w:pPr>
      <w:r w:rsidRPr="00FD5C10">
        <w:rPr>
          <w:b/>
          <w:bCs/>
          <w:color w:val="000000" w:themeColor="text1"/>
          <w:lang w:eastAsia="x-none"/>
        </w:rPr>
        <w:t>Proposal 1</w:t>
      </w:r>
      <w:r w:rsidR="00C33346">
        <w:rPr>
          <w:b/>
          <w:bCs/>
          <w:color w:val="000000" w:themeColor="text1"/>
          <w:lang w:eastAsia="x-none"/>
        </w:rPr>
        <w:t>0</w:t>
      </w:r>
      <w:r w:rsidRPr="00FD5C10">
        <w:rPr>
          <w:b/>
          <w:bCs/>
          <w:color w:val="000000" w:themeColor="text1"/>
          <w:lang w:eastAsia="x-none"/>
        </w:rPr>
        <w:t>:</w:t>
      </w:r>
      <w:r w:rsidRPr="0020333B">
        <w:rPr>
          <w:color w:val="000000" w:themeColor="text1"/>
          <w:lang w:eastAsia="x-none"/>
        </w:rPr>
        <w:t xml:space="preserve"> Include PDU session ID in RVQoE report</w:t>
      </w:r>
    </w:p>
    <w:p w14:paraId="22ABF746" w14:textId="27024C5E" w:rsidR="00A52669" w:rsidRDefault="00A52669" w:rsidP="00A52669">
      <w:pPr>
        <w:pStyle w:val="Heading2"/>
        <w:numPr>
          <w:ilvl w:val="1"/>
          <w:numId w:val="2"/>
        </w:numPr>
        <w:tabs>
          <w:tab w:val="left" w:pos="720"/>
        </w:tabs>
        <w:rPr>
          <w:rFonts w:ascii="Times New Roman" w:hAnsi="Times New Roman"/>
        </w:rPr>
      </w:pPr>
      <w:r>
        <w:rPr>
          <w:rFonts w:ascii="Times New Roman" w:hAnsi="Times New Roman"/>
        </w:rPr>
        <w:lastRenderedPageBreak/>
        <w:t>Handling RVQoE during mobility</w:t>
      </w:r>
    </w:p>
    <w:p w14:paraId="7870D0D3" w14:textId="17868B4B" w:rsidR="0064729E" w:rsidRPr="005F0C8C" w:rsidRDefault="0064729E" w:rsidP="00A1118A">
      <w:pPr>
        <w:pStyle w:val="ListParagraph"/>
        <w:numPr>
          <w:ilvl w:val="0"/>
          <w:numId w:val="7"/>
        </w:numPr>
        <w:rPr>
          <w:color w:val="0070C0"/>
          <w:lang w:eastAsia="zh-CN"/>
        </w:rPr>
      </w:pPr>
      <w:r w:rsidRPr="006F108C">
        <w:rPr>
          <w:color w:val="0070C0"/>
          <w:szCs w:val="22"/>
          <w:lang w:eastAsia="zh-CN"/>
        </w:rPr>
        <w:t xml:space="preserve">FFS whether the RAN visible QoE configuration can be propagated from the source to target node upon mobility and during context retrieval. </w:t>
      </w:r>
    </w:p>
    <w:p w14:paraId="05BE2489" w14:textId="52D2D884" w:rsidR="005F0C8C" w:rsidRPr="005F0C8C" w:rsidRDefault="005F0C8C" w:rsidP="005F0C8C">
      <w:pPr>
        <w:rPr>
          <w:lang w:eastAsia="zh-CN"/>
        </w:rPr>
      </w:pPr>
      <w:r w:rsidRPr="005F0C8C">
        <w:rPr>
          <w:b/>
          <w:bCs/>
          <w:lang w:eastAsia="zh-CN"/>
        </w:rPr>
        <w:t>Proposal 1</w:t>
      </w:r>
      <w:r w:rsidR="00C33346">
        <w:rPr>
          <w:b/>
          <w:bCs/>
          <w:lang w:eastAsia="zh-CN"/>
        </w:rPr>
        <w:t>1</w:t>
      </w:r>
      <w:r w:rsidRPr="005F0C8C">
        <w:rPr>
          <w:b/>
          <w:bCs/>
          <w:lang w:eastAsia="zh-CN"/>
        </w:rPr>
        <w:t>:</w:t>
      </w:r>
      <w:r w:rsidRPr="005F0C8C">
        <w:rPr>
          <w:lang w:eastAsia="zh-CN"/>
        </w:rPr>
        <w:t xml:space="preserve"> RAN visible QoE configuration can be propagated from the source to target node upon mobility and during context retrieval</w:t>
      </w:r>
    </w:p>
    <w:p w14:paraId="1E387F1A" w14:textId="51A304CB" w:rsidR="0064729E" w:rsidRPr="0064729E" w:rsidRDefault="005F0C8C" w:rsidP="0064729E">
      <w:pPr>
        <w:rPr>
          <w:lang w:eastAsia="x-none"/>
        </w:rPr>
      </w:pPr>
      <w:r w:rsidRPr="005F0C8C">
        <w:rPr>
          <w:b/>
          <w:bCs/>
          <w:lang w:eastAsia="zh-CN"/>
        </w:rPr>
        <w:t xml:space="preserve">Proposal </w:t>
      </w:r>
      <w:r w:rsidR="00C33346">
        <w:rPr>
          <w:b/>
          <w:bCs/>
          <w:lang w:eastAsia="zh-CN"/>
        </w:rPr>
        <w:t>12</w:t>
      </w:r>
      <w:r w:rsidRPr="005F0C8C">
        <w:rPr>
          <w:lang w:eastAsia="zh-CN"/>
        </w:rPr>
        <w:t>: RAN visible QoE report can be signalled from the target to the source node after a successful handover.</w:t>
      </w:r>
    </w:p>
    <w:p w14:paraId="255BF6CF" w14:textId="49752198" w:rsidR="009632FD" w:rsidRDefault="009632FD" w:rsidP="009632FD">
      <w:pPr>
        <w:pStyle w:val="Heading2"/>
        <w:numPr>
          <w:ilvl w:val="1"/>
          <w:numId w:val="2"/>
        </w:numPr>
        <w:tabs>
          <w:tab w:val="left" w:pos="720"/>
        </w:tabs>
        <w:rPr>
          <w:rFonts w:ascii="Times New Roman" w:hAnsi="Times New Roman"/>
        </w:rPr>
      </w:pPr>
      <w:r>
        <w:rPr>
          <w:rFonts w:ascii="Times New Roman" w:hAnsi="Times New Roman"/>
        </w:rPr>
        <w:t>Alignment between radio related measurements and RVQoE</w:t>
      </w:r>
    </w:p>
    <w:p w14:paraId="144268E8" w14:textId="685FC26D" w:rsidR="006F2A11" w:rsidRDefault="006F2A11" w:rsidP="00A1118A">
      <w:pPr>
        <w:pStyle w:val="ListParagraph"/>
        <w:numPr>
          <w:ilvl w:val="0"/>
          <w:numId w:val="7"/>
        </w:numPr>
        <w:rPr>
          <w:color w:val="00B050"/>
          <w:lang w:eastAsia="x-none"/>
        </w:rPr>
      </w:pPr>
      <w:r w:rsidRPr="006F108C">
        <w:rPr>
          <w:color w:val="00B050"/>
          <w:lang w:eastAsia="x-none"/>
        </w:rPr>
        <w:t>The details of alignment between radio-related measurements and RVQoE measurements can be discussed in RAN3#114-bis-e.</w:t>
      </w:r>
    </w:p>
    <w:p w14:paraId="3CB2D0B3" w14:textId="17AC197B" w:rsidR="003C367D" w:rsidRDefault="003C367D" w:rsidP="00A1118A">
      <w:pPr>
        <w:pStyle w:val="ListParagraph"/>
        <w:numPr>
          <w:ilvl w:val="0"/>
          <w:numId w:val="7"/>
        </w:numPr>
        <w:rPr>
          <w:color w:val="00B050"/>
          <w:lang w:eastAsia="x-none"/>
        </w:rPr>
      </w:pPr>
      <w:r w:rsidRPr="003C367D">
        <w:rPr>
          <w:color w:val="00B050"/>
          <w:lang w:eastAsia="x-none"/>
        </w:rPr>
        <w:t>The alignment of RVQoE and MDT measurements reuses the solution for the alignment of legacy QoE and MDT measurements. RAN node can reuse RRM measurements as well</w:t>
      </w:r>
    </w:p>
    <w:p w14:paraId="2C79D6A5" w14:textId="01939DB5" w:rsidR="0064575B" w:rsidRPr="0064575B" w:rsidRDefault="0064575B" w:rsidP="0064575B">
      <w:pPr>
        <w:rPr>
          <w:lang w:eastAsia="zh-CN"/>
        </w:rPr>
      </w:pPr>
      <w:r w:rsidRPr="0064575B">
        <w:rPr>
          <w:b/>
          <w:bCs/>
          <w:lang w:eastAsia="zh-CN"/>
        </w:rPr>
        <w:t>Proposal 13:</w:t>
      </w:r>
      <w:r w:rsidRPr="0064575B">
        <w:rPr>
          <w:lang w:eastAsia="zh-CN"/>
        </w:rPr>
        <w:t xml:space="preserve"> Similar to OAM based alignment, NG-RAN can configure RVQoE and MDT at the same time in case an alignment is required</w:t>
      </w:r>
    </w:p>
    <w:p w14:paraId="31CFAD59" w14:textId="77777777" w:rsidR="00796C54" w:rsidRPr="00796C54" w:rsidRDefault="00796C54" w:rsidP="00796C54">
      <w:pPr>
        <w:rPr>
          <w:lang w:eastAsia="x-none"/>
        </w:rPr>
      </w:pPr>
    </w:p>
    <w:p w14:paraId="76ADF0CD" w14:textId="6457EB00" w:rsidR="00D81C03" w:rsidRDefault="00D81C03" w:rsidP="00D81C03">
      <w:pPr>
        <w:pStyle w:val="Heading1"/>
        <w:numPr>
          <w:ilvl w:val="0"/>
          <w:numId w:val="2"/>
        </w:numPr>
        <w:rPr>
          <w:rFonts w:ascii="Times New Roman" w:hAnsi="Times New Roman"/>
        </w:rPr>
      </w:pPr>
      <w:r w:rsidRPr="001062CC">
        <w:rPr>
          <w:rFonts w:ascii="Times New Roman" w:hAnsi="Times New Roman"/>
        </w:rPr>
        <w:t>Conclusion</w:t>
      </w:r>
    </w:p>
    <w:p w14:paraId="028F15F7" w14:textId="77777777" w:rsidR="00A1118A" w:rsidRDefault="00A1118A" w:rsidP="00A1118A">
      <w:pPr>
        <w:rPr>
          <w:lang w:val="en-US"/>
        </w:rPr>
      </w:pPr>
      <w:r w:rsidRPr="004B3B5C">
        <w:rPr>
          <w:b/>
          <w:bCs/>
          <w:lang w:val="en-US"/>
        </w:rPr>
        <w:t>Observation</w:t>
      </w:r>
      <w:r>
        <w:rPr>
          <w:b/>
          <w:bCs/>
          <w:lang w:val="en-US"/>
        </w:rPr>
        <w:t xml:space="preserve"> 1</w:t>
      </w:r>
      <w:r>
        <w:rPr>
          <w:lang w:val="en-US"/>
        </w:rPr>
        <w:t>: Defining RAN visible QoE values as an objective/qualitative representation of QoE metrics (e.g., on a score of 0–10, poor/medium/good) requires knowledge of the typical values of QoE metrics and the need to define appropriate formulas/thresholds, which is beyond RAN3’s understanding and also extensive work for SA4 if pursued.</w:t>
      </w:r>
    </w:p>
    <w:p w14:paraId="464A6325" w14:textId="77777777" w:rsidR="00A1118A" w:rsidRDefault="00A1118A" w:rsidP="00A1118A">
      <w:pPr>
        <w:rPr>
          <w:lang w:val="en-US"/>
        </w:rPr>
      </w:pPr>
      <w:r w:rsidRPr="00851530">
        <w:rPr>
          <w:b/>
          <w:bCs/>
          <w:lang w:val="en-US"/>
        </w:rPr>
        <w:t>Observation</w:t>
      </w:r>
      <w:r>
        <w:rPr>
          <w:b/>
          <w:bCs/>
          <w:lang w:val="en-US"/>
        </w:rPr>
        <w:t xml:space="preserve"> 2</w:t>
      </w:r>
      <w:r>
        <w:rPr>
          <w:lang w:val="en-US"/>
        </w:rPr>
        <w:t>: Defining RAN visible QoE values based on measurements of multiple metrics is convoluted and it is best to define RVQoE values based on a single metric</w:t>
      </w:r>
    </w:p>
    <w:p w14:paraId="2ECA680C" w14:textId="77777777" w:rsidR="00A1118A" w:rsidRDefault="00A1118A" w:rsidP="00A1118A">
      <w:pPr>
        <w:rPr>
          <w:lang w:val="en-US"/>
        </w:rPr>
      </w:pPr>
      <w:r w:rsidRPr="00232110">
        <w:rPr>
          <w:b/>
          <w:bCs/>
          <w:lang w:val="en-US"/>
        </w:rPr>
        <w:t xml:space="preserve">Proposal </w:t>
      </w:r>
      <w:r>
        <w:rPr>
          <w:b/>
          <w:bCs/>
          <w:lang w:val="en-US"/>
        </w:rPr>
        <w:t>1</w:t>
      </w:r>
      <w:r w:rsidRPr="00232110">
        <w:rPr>
          <w:b/>
          <w:bCs/>
          <w:lang w:val="en-US"/>
        </w:rPr>
        <w:t>:</w:t>
      </w:r>
      <w:r w:rsidRPr="00E354F1">
        <w:rPr>
          <w:lang w:val="en-US"/>
        </w:rPr>
        <w:t xml:space="preserve"> There is no need to define any RAN visible QoE values as an objective/qualitative representation of QoE metrics (e.g., on a score of 0-10, poor/medium/good)</w:t>
      </w:r>
      <w:r>
        <w:rPr>
          <w:lang w:val="en-US"/>
        </w:rPr>
        <w:t xml:space="preserve">. RAN3 can </w:t>
      </w:r>
      <w:r w:rsidRPr="006E3690">
        <w:rPr>
          <w:lang w:val="en-US"/>
        </w:rPr>
        <w:t>instead</w:t>
      </w:r>
      <w:r>
        <w:rPr>
          <w:lang w:val="en-US"/>
        </w:rPr>
        <w:t xml:space="preserve"> focus on supporting </w:t>
      </w:r>
      <w:r w:rsidRPr="006E3690">
        <w:rPr>
          <w:lang w:val="en-US"/>
        </w:rPr>
        <w:t xml:space="preserve">RAN visible QoE values which are </w:t>
      </w:r>
      <w:r>
        <w:rPr>
          <w:lang w:val="en-US"/>
        </w:rPr>
        <w:t>statistical</w:t>
      </w:r>
      <w:r w:rsidRPr="006E3690">
        <w:rPr>
          <w:lang w:val="en-US"/>
        </w:rPr>
        <w:t xml:space="preserve"> information derived from legacy QoE metrics</w:t>
      </w:r>
    </w:p>
    <w:p w14:paraId="26066A87" w14:textId="77777777" w:rsidR="00A1118A" w:rsidRDefault="00A1118A" w:rsidP="00A1118A">
      <w:pPr>
        <w:rPr>
          <w:lang w:val="en-US"/>
        </w:rPr>
      </w:pPr>
      <w:r w:rsidRPr="00F70B59">
        <w:rPr>
          <w:b/>
          <w:bCs/>
          <w:lang w:val="en-US"/>
        </w:rPr>
        <w:t>Proposal 2:</w:t>
      </w:r>
      <w:r>
        <w:rPr>
          <w:lang w:val="en-US"/>
        </w:rPr>
        <w:t xml:space="preserve"> RAN visible QoE values are to be calculated based on QoE measurements of a single metric (i.e., not from multiple metrics)</w:t>
      </w:r>
    </w:p>
    <w:p w14:paraId="5F319289" w14:textId="77777777" w:rsidR="00A1118A" w:rsidRDefault="00A1118A" w:rsidP="00A1118A">
      <w:pPr>
        <w:rPr>
          <w:lang w:val="en-US"/>
        </w:rPr>
      </w:pPr>
      <w:r w:rsidRPr="00A26E7F">
        <w:rPr>
          <w:b/>
          <w:bCs/>
          <w:lang w:val="en-US"/>
        </w:rPr>
        <w:t xml:space="preserve">Proposal </w:t>
      </w:r>
      <w:r>
        <w:rPr>
          <w:b/>
          <w:bCs/>
          <w:lang w:val="en-US"/>
        </w:rPr>
        <w:t>3</w:t>
      </w:r>
      <w:r w:rsidRPr="00A26E7F">
        <w:rPr>
          <w:b/>
          <w:bCs/>
          <w:lang w:val="en-US"/>
        </w:rPr>
        <w:t>:</w:t>
      </w:r>
      <w:r w:rsidRPr="00E354F1">
        <w:rPr>
          <w:lang w:val="en-US"/>
        </w:rPr>
        <w:t xml:space="preserve"> Stalling related information during an application session can be </w:t>
      </w:r>
      <w:r>
        <w:rPr>
          <w:lang w:val="en-US"/>
        </w:rPr>
        <w:t xml:space="preserve">derived from legacy QoE metric “Play List” and </w:t>
      </w:r>
      <w:r w:rsidRPr="00E354F1">
        <w:rPr>
          <w:lang w:val="en-US"/>
        </w:rPr>
        <w:t xml:space="preserve">supported as </w:t>
      </w:r>
      <w:r>
        <w:rPr>
          <w:lang w:val="en-US"/>
        </w:rPr>
        <w:t xml:space="preserve">a </w:t>
      </w:r>
      <w:r w:rsidRPr="00E354F1">
        <w:rPr>
          <w:lang w:val="en-US"/>
        </w:rPr>
        <w:t>RAN visible QoE value</w:t>
      </w:r>
      <w:r>
        <w:rPr>
          <w:lang w:val="en-US"/>
        </w:rPr>
        <w:t xml:space="preserve">. </w:t>
      </w:r>
      <w:r w:rsidRPr="00232110">
        <w:rPr>
          <w:lang w:val="en-US"/>
        </w:rPr>
        <w:t>Number of stalling occurrences</w:t>
      </w:r>
      <w:r>
        <w:rPr>
          <w:lang w:val="en-US"/>
        </w:rPr>
        <w:t xml:space="preserve"> in the last measurement interval can be </w:t>
      </w:r>
      <w:r w:rsidRPr="00232110">
        <w:rPr>
          <w:lang w:val="en-US"/>
        </w:rPr>
        <w:t xml:space="preserve">calculated by counting how many times a stop reason is specified as "rebuffering" in Play List </w:t>
      </w:r>
    </w:p>
    <w:p w14:paraId="0BCF7547" w14:textId="77777777" w:rsidR="00A1118A" w:rsidRPr="00E354F1" w:rsidRDefault="00A1118A" w:rsidP="00A1118A">
      <w:pPr>
        <w:rPr>
          <w:lang w:val="en-US"/>
        </w:rPr>
      </w:pPr>
      <w:r w:rsidRPr="00232110">
        <w:rPr>
          <w:b/>
          <w:bCs/>
          <w:lang w:val="en-US"/>
        </w:rPr>
        <w:t>Proposal 4:</w:t>
      </w:r>
      <w:r w:rsidRPr="00E354F1">
        <w:rPr>
          <w:lang w:val="en-US"/>
        </w:rPr>
        <w:t xml:space="preserve"> UE APP should </w:t>
      </w:r>
      <w:r>
        <w:rPr>
          <w:lang w:val="en-US"/>
        </w:rPr>
        <w:t xml:space="preserve">generate the statistical information or alarms which are to be reported as </w:t>
      </w:r>
      <w:r w:rsidRPr="00E354F1">
        <w:rPr>
          <w:lang w:val="en-US"/>
        </w:rPr>
        <w:t>RAN visible QoE values</w:t>
      </w:r>
      <w:r>
        <w:rPr>
          <w:lang w:val="en-US"/>
        </w:rPr>
        <w:t xml:space="preserve"> and indicated to UE AS via AT command.</w:t>
      </w:r>
      <w:r w:rsidRPr="00E354F1">
        <w:rPr>
          <w:lang w:val="en-US"/>
        </w:rPr>
        <w:t xml:space="preserve"> Send LS to SA4 to confirm.</w:t>
      </w:r>
    </w:p>
    <w:p w14:paraId="30D2E0A9" w14:textId="77777777" w:rsidR="00A1118A" w:rsidRPr="00E354F1" w:rsidRDefault="00A1118A" w:rsidP="00A1118A">
      <w:pPr>
        <w:rPr>
          <w:lang w:val="en-US"/>
        </w:rPr>
      </w:pPr>
      <w:r w:rsidRPr="00232110">
        <w:rPr>
          <w:b/>
          <w:bCs/>
          <w:lang w:val="en-US"/>
        </w:rPr>
        <w:t xml:space="preserve">Proposal </w:t>
      </w:r>
      <w:r>
        <w:rPr>
          <w:b/>
          <w:bCs/>
          <w:lang w:val="en-US"/>
        </w:rPr>
        <w:t>5</w:t>
      </w:r>
      <w:r w:rsidRPr="00232110">
        <w:rPr>
          <w:b/>
          <w:bCs/>
          <w:lang w:val="en-US"/>
        </w:rPr>
        <w:t>:</w:t>
      </w:r>
      <w:r w:rsidRPr="00E354F1">
        <w:rPr>
          <w:lang w:val="en-US"/>
        </w:rPr>
        <w:t xml:space="preserve"> NG-RAN can optionally configure an </w:t>
      </w:r>
      <w:r>
        <w:rPr>
          <w:lang w:val="en-US"/>
        </w:rPr>
        <w:t xml:space="preserve">“alarm </w:t>
      </w:r>
      <w:r w:rsidRPr="00E354F1">
        <w:rPr>
          <w:lang w:val="en-US"/>
        </w:rPr>
        <w:t>threshold</w:t>
      </w:r>
      <w:r>
        <w:rPr>
          <w:lang w:val="en-US"/>
        </w:rPr>
        <w:t>”</w:t>
      </w:r>
      <w:r w:rsidRPr="00E354F1">
        <w:rPr>
          <w:lang w:val="en-US"/>
        </w:rPr>
        <w:t xml:space="preserve"> for </w:t>
      </w:r>
      <w:r>
        <w:rPr>
          <w:lang w:val="en-US"/>
        </w:rPr>
        <w:t xml:space="preserve">each </w:t>
      </w:r>
      <w:r w:rsidRPr="00E354F1">
        <w:rPr>
          <w:lang w:val="en-US"/>
        </w:rPr>
        <w:t>R</w:t>
      </w:r>
      <w:r>
        <w:rPr>
          <w:lang w:val="en-US"/>
        </w:rPr>
        <w:t>V</w:t>
      </w:r>
      <w:r w:rsidRPr="00E354F1">
        <w:rPr>
          <w:lang w:val="en-US"/>
        </w:rPr>
        <w:t xml:space="preserve">QoE </w:t>
      </w:r>
      <w:r>
        <w:rPr>
          <w:lang w:val="en-US"/>
        </w:rPr>
        <w:t>metric</w:t>
      </w:r>
      <w:r w:rsidRPr="00E354F1">
        <w:rPr>
          <w:lang w:val="en-US"/>
        </w:rPr>
        <w:t xml:space="preserve">, upon crossing which UE </w:t>
      </w:r>
      <w:r>
        <w:rPr>
          <w:lang w:val="en-US"/>
        </w:rPr>
        <w:t>reports an alarm for the corresponding RVQoE metric instead of reporting the absolute value</w:t>
      </w:r>
    </w:p>
    <w:p w14:paraId="25019241" w14:textId="77777777" w:rsidR="00A1118A" w:rsidRDefault="00A1118A" w:rsidP="00A1118A">
      <w:pPr>
        <w:rPr>
          <w:color w:val="000000" w:themeColor="text1"/>
          <w:lang w:eastAsia="x-none"/>
        </w:rPr>
      </w:pPr>
      <w:r w:rsidRPr="00A5546B">
        <w:rPr>
          <w:b/>
          <w:bCs/>
          <w:color w:val="000000" w:themeColor="text1"/>
          <w:lang w:eastAsia="x-none"/>
        </w:rPr>
        <w:t xml:space="preserve">Proposal </w:t>
      </w:r>
      <w:r>
        <w:rPr>
          <w:b/>
          <w:bCs/>
          <w:color w:val="000000" w:themeColor="text1"/>
          <w:lang w:eastAsia="x-none"/>
        </w:rPr>
        <w:t>6</w:t>
      </w:r>
      <w:r w:rsidRPr="00A5546B">
        <w:rPr>
          <w:b/>
          <w:bCs/>
          <w:color w:val="000000" w:themeColor="text1"/>
          <w:lang w:eastAsia="x-none"/>
        </w:rPr>
        <w:t>:</w:t>
      </w:r>
      <w:r w:rsidRPr="005A730A">
        <w:rPr>
          <w:color w:val="000000" w:themeColor="text1"/>
          <w:lang w:eastAsia="x-none"/>
        </w:rPr>
        <w:t xml:space="preserve"> There is no need to define any event triggers </w:t>
      </w:r>
      <w:r>
        <w:rPr>
          <w:color w:val="000000" w:themeColor="text1"/>
          <w:lang w:eastAsia="x-none"/>
        </w:rPr>
        <w:t xml:space="preserve">(except alarm thresholds if agreed in Proposal 5) </w:t>
      </w:r>
      <w:r w:rsidRPr="005A730A">
        <w:rPr>
          <w:color w:val="000000" w:themeColor="text1"/>
          <w:lang w:eastAsia="x-none"/>
        </w:rPr>
        <w:t>in RAN visible QoE configuration</w:t>
      </w:r>
    </w:p>
    <w:p w14:paraId="48549FCE" w14:textId="77777777" w:rsidR="00A1118A" w:rsidRPr="005A730A" w:rsidRDefault="00A1118A" w:rsidP="00A1118A">
      <w:pPr>
        <w:rPr>
          <w:color w:val="000000" w:themeColor="text1"/>
          <w:lang w:eastAsia="x-none"/>
        </w:rPr>
      </w:pPr>
      <w:r w:rsidRPr="00A5546B">
        <w:rPr>
          <w:b/>
          <w:bCs/>
          <w:color w:val="000000" w:themeColor="text1"/>
          <w:lang w:eastAsia="x-none"/>
        </w:rPr>
        <w:t xml:space="preserve">Proposal </w:t>
      </w:r>
      <w:r>
        <w:rPr>
          <w:b/>
          <w:bCs/>
          <w:color w:val="000000" w:themeColor="text1"/>
          <w:lang w:eastAsia="x-none"/>
        </w:rPr>
        <w:t>7</w:t>
      </w:r>
      <w:r w:rsidRPr="00A5546B">
        <w:rPr>
          <w:b/>
          <w:bCs/>
          <w:color w:val="000000" w:themeColor="text1"/>
          <w:lang w:eastAsia="x-none"/>
        </w:rPr>
        <w:t>:</w:t>
      </w:r>
      <w:r w:rsidRPr="005A730A">
        <w:rPr>
          <w:color w:val="000000" w:themeColor="text1"/>
          <w:lang w:eastAsia="x-none"/>
        </w:rPr>
        <w:t xml:space="preserve"> There is no need to define a separate reporting periodicity for RAN visible QoE</w:t>
      </w:r>
    </w:p>
    <w:p w14:paraId="718373A8" w14:textId="77777777" w:rsidR="00A1118A" w:rsidRPr="005A730A" w:rsidRDefault="00A1118A" w:rsidP="00A1118A">
      <w:pPr>
        <w:rPr>
          <w:color w:val="000000" w:themeColor="text1"/>
          <w:lang w:eastAsia="x-none"/>
        </w:rPr>
      </w:pPr>
      <w:r w:rsidRPr="00A5546B">
        <w:rPr>
          <w:b/>
          <w:bCs/>
          <w:color w:val="000000" w:themeColor="text1"/>
          <w:lang w:eastAsia="x-none"/>
        </w:rPr>
        <w:t xml:space="preserve">Proposal </w:t>
      </w:r>
      <w:r>
        <w:rPr>
          <w:b/>
          <w:bCs/>
          <w:color w:val="000000" w:themeColor="text1"/>
          <w:lang w:eastAsia="x-none"/>
        </w:rPr>
        <w:t>8</w:t>
      </w:r>
      <w:r w:rsidRPr="00A5546B">
        <w:rPr>
          <w:b/>
          <w:bCs/>
          <w:color w:val="000000" w:themeColor="text1"/>
          <w:lang w:eastAsia="x-none"/>
        </w:rPr>
        <w:t>:</w:t>
      </w:r>
      <w:r w:rsidRPr="005A730A">
        <w:rPr>
          <w:color w:val="000000" w:themeColor="text1"/>
          <w:lang w:eastAsia="x-none"/>
        </w:rPr>
        <w:t xml:space="preserve"> Convert the following WA into agreement: </w:t>
      </w:r>
    </w:p>
    <w:p w14:paraId="5AF8DB5B" w14:textId="77777777" w:rsidR="00A1118A" w:rsidRPr="005A730A" w:rsidRDefault="00A1118A" w:rsidP="00A1118A">
      <w:pPr>
        <w:rPr>
          <w:color w:val="000000" w:themeColor="text1"/>
          <w:lang w:eastAsia="x-none"/>
        </w:rPr>
      </w:pPr>
      <w:r w:rsidRPr="005A730A">
        <w:rPr>
          <w:color w:val="000000" w:themeColor="text1"/>
          <w:lang w:eastAsia="x-none"/>
        </w:rPr>
        <w:lastRenderedPageBreak/>
        <w:t xml:space="preserve">         WA: If the legacy QoE configuration is paused/resumed, the corresponding RVQOE configuration is paused/resumed as well</w:t>
      </w:r>
    </w:p>
    <w:p w14:paraId="18041E7C" w14:textId="77777777" w:rsidR="00A1118A" w:rsidRDefault="00A1118A" w:rsidP="00A1118A">
      <w:pPr>
        <w:rPr>
          <w:color w:val="000000" w:themeColor="text1"/>
          <w:lang w:eastAsia="x-none"/>
        </w:rPr>
      </w:pPr>
      <w:r w:rsidRPr="00FD5C10">
        <w:rPr>
          <w:b/>
          <w:bCs/>
          <w:color w:val="000000" w:themeColor="text1"/>
          <w:lang w:eastAsia="x-none"/>
        </w:rPr>
        <w:t xml:space="preserve">Proposal </w:t>
      </w:r>
      <w:r>
        <w:rPr>
          <w:b/>
          <w:bCs/>
          <w:color w:val="000000" w:themeColor="text1"/>
          <w:lang w:eastAsia="x-none"/>
        </w:rPr>
        <w:t>9</w:t>
      </w:r>
      <w:r w:rsidRPr="00FD5C10">
        <w:rPr>
          <w:b/>
          <w:bCs/>
          <w:color w:val="000000" w:themeColor="text1"/>
          <w:lang w:eastAsia="x-none"/>
        </w:rPr>
        <w:t>:</w:t>
      </w:r>
      <w:r w:rsidRPr="0020333B">
        <w:rPr>
          <w:color w:val="000000" w:themeColor="text1"/>
          <w:lang w:eastAsia="x-none"/>
        </w:rPr>
        <w:t xml:space="preserve"> RAN visible QoE should always be reported together with legacy QoE</w:t>
      </w:r>
    </w:p>
    <w:p w14:paraId="71122827" w14:textId="77777777" w:rsidR="00A1118A" w:rsidRPr="0020333B" w:rsidRDefault="00A1118A" w:rsidP="00A1118A">
      <w:pPr>
        <w:rPr>
          <w:color w:val="000000" w:themeColor="text1"/>
          <w:lang w:eastAsia="x-none"/>
        </w:rPr>
      </w:pPr>
      <w:r w:rsidRPr="00FD5C10">
        <w:rPr>
          <w:b/>
          <w:bCs/>
          <w:color w:val="000000" w:themeColor="text1"/>
          <w:lang w:eastAsia="x-none"/>
        </w:rPr>
        <w:t>Proposal 1</w:t>
      </w:r>
      <w:r>
        <w:rPr>
          <w:b/>
          <w:bCs/>
          <w:color w:val="000000" w:themeColor="text1"/>
          <w:lang w:eastAsia="x-none"/>
        </w:rPr>
        <w:t>0</w:t>
      </w:r>
      <w:r w:rsidRPr="00FD5C10">
        <w:rPr>
          <w:b/>
          <w:bCs/>
          <w:color w:val="000000" w:themeColor="text1"/>
          <w:lang w:eastAsia="x-none"/>
        </w:rPr>
        <w:t>:</w:t>
      </w:r>
      <w:r w:rsidRPr="0020333B">
        <w:rPr>
          <w:color w:val="000000" w:themeColor="text1"/>
          <w:lang w:eastAsia="x-none"/>
        </w:rPr>
        <w:t xml:space="preserve"> Include PDU session ID in RVQoE report</w:t>
      </w:r>
    </w:p>
    <w:p w14:paraId="609B4758" w14:textId="77777777" w:rsidR="00A1118A" w:rsidRPr="005F0C8C" w:rsidRDefault="00A1118A" w:rsidP="00A1118A">
      <w:pPr>
        <w:rPr>
          <w:lang w:eastAsia="zh-CN"/>
        </w:rPr>
      </w:pPr>
      <w:r w:rsidRPr="005F0C8C">
        <w:rPr>
          <w:b/>
          <w:bCs/>
          <w:lang w:eastAsia="zh-CN"/>
        </w:rPr>
        <w:t>Proposal 1</w:t>
      </w:r>
      <w:r>
        <w:rPr>
          <w:b/>
          <w:bCs/>
          <w:lang w:eastAsia="zh-CN"/>
        </w:rPr>
        <w:t>1</w:t>
      </w:r>
      <w:r w:rsidRPr="005F0C8C">
        <w:rPr>
          <w:b/>
          <w:bCs/>
          <w:lang w:eastAsia="zh-CN"/>
        </w:rPr>
        <w:t>:</w:t>
      </w:r>
      <w:r w:rsidRPr="005F0C8C">
        <w:rPr>
          <w:lang w:eastAsia="zh-CN"/>
        </w:rPr>
        <w:t xml:space="preserve"> RAN visible QoE configuration can be propagated from the source to target node upon mobility and during context retrieval</w:t>
      </w:r>
    </w:p>
    <w:p w14:paraId="400CD974" w14:textId="77777777" w:rsidR="00A1118A" w:rsidRPr="0064729E" w:rsidRDefault="00A1118A" w:rsidP="00A1118A">
      <w:pPr>
        <w:rPr>
          <w:lang w:eastAsia="x-none"/>
        </w:rPr>
      </w:pPr>
      <w:r w:rsidRPr="005F0C8C">
        <w:rPr>
          <w:b/>
          <w:bCs/>
          <w:lang w:eastAsia="zh-CN"/>
        </w:rPr>
        <w:t xml:space="preserve">Proposal </w:t>
      </w:r>
      <w:r>
        <w:rPr>
          <w:b/>
          <w:bCs/>
          <w:lang w:eastAsia="zh-CN"/>
        </w:rPr>
        <w:t>12</w:t>
      </w:r>
      <w:r w:rsidRPr="005F0C8C">
        <w:rPr>
          <w:lang w:eastAsia="zh-CN"/>
        </w:rPr>
        <w:t>: RAN visible QoE report can be signalled from the target to the source node after a successful handover.</w:t>
      </w:r>
    </w:p>
    <w:p w14:paraId="47FF12DA" w14:textId="77777777" w:rsidR="00A1118A" w:rsidRPr="0064575B" w:rsidRDefault="00A1118A" w:rsidP="00A1118A">
      <w:pPr>
        <w:rPr>
          <w:lang w:eastAsia="zh-CN"/>
        </w:rPr>
      </w:pPr>
      <w:r w:rsidRPr="0064575B">
        <w:rPr>
          <w:b/>
          <w:bCs/>
          <w:lang w:eastAsia="zh-CN"/>
        </w:rPr>
        <w:t>Proposal 13:</w:t>
      </w:r>
      <w:r w:rsidRPr="0064575B">
        <w:rPr>
          <w:lang w:eastAsia="zh-CN"/>
        </w:rPr>
        <w:t xml:space="preserve"> Similar to OAM based alignment, NG-RAN can configure RVQoE and MDT at the same time in case an alignment is required</w:t>
      </w:r>
    </w:p>
    <w:p w14:paraId="1BDF5BFC" w14:textId="77777777" w:rsidR="005562D4" w:rsidRPr="005562D4" w:rsidRDefault="005562D4" w:rsidP="005562D4"/>
    <w:p w14:paraId="50AF501C" w14:textId="77777777" w:rsidR="00D81C03" w:rsidRPr="001062CC" w:rsidRDefault="00D81C03" w:rsidP="00D81C03">
      <w:pPr>
        <w:pStyle w:val="Heading1"/>
        <w:pBdr>
          <w:top w:val="single" w:sz="12" w:space="2" w:color="auto"/>
        </w:pBdr>
        <w:ind w:left="0" w:firstLine="0"/>
        <w:rPr>
          <w:rFonts w:ascii="Times New Roman" w:hAnsi="Times New Roman"/>
        </w:rPr>
      </w:pPr>
      <w:r w:rsidRPr="001062CC">
        <w:rPr>
          <w:rFonts w:ascii="Times New Roman" w:hAnsi="Times New Roman"/>
        </w:rPr>
        <w:t>4. References</w:t>
      </w:r>
    </w:p>
    <w:p w14:paraId="13621127" w14:textId="5716C7BD" w:rsidR="000E57E3" w:rsidRDefault="000E57E3" w:rsidP="00385912"/>
    <w:p w14:paraId="4669042E" w14:textId="239FBEF3" w:rsidR="00B953BC" w:rsidRDefault="00B953BC" w:rsidP="00B953BC">
      <w:pPr>
        <w:pStyle w:val="Heading1"/>
        <w:pBdr>
          <w:top w:val="single" w:sz="12" w:space="2" w:color="auto"/>
        </w:pBdr>
        <w:ind w:left="0" w:firstLine="0"/>
        <w:rPr>
          <w:rFonts w:ascii="Times New Roman" w:hAnsi="Times New Roman"/>
        </w:rPr>
      </w:pPr>
      <w:r>
        <w:rPr>
          <w:rFonts w:ascii="Times New Roman" w:hAnsi="Times New Roman"/>
        </w:rPr>
        <w:t>5. Appendix</w:t>
      </w:r>
    </w:p>
    <w:tbl>
      <w:tblPr>
        <w:tblStyle w:val="TableGrid"/>
        <w:tblW w:w="0" w:type="auto"/>
        <w:tblLayout w:type="fixed"/>
        <w:tblLook w:val="04A0" w:firstRow="1" w:lastRow="0" w:firstColumn="1" w:lastColumn="0" w:noHBand="0" w:noVBand="1"/>
      </w:tblPr>
      <w:tblGrid>
        <w:gridCol w:w="1237"/>
        <w:gridCol w:w="6048"/>
        <w:gridCol w:w="2065"/>
      </w:tblGrid>
      <w:tr w:rsidR="009B36CF" w:rsidRPr="00043D57" w14:paraId="7ABCF360" w14:textId="77777777" w:rsidTr="00FD7A73">
        <w:tc>
          <w:tcPr>
            <w:tcW w:w="1237" w:type="dxa"/>
          </w:tcPr>
          <w:p w14:paraId="7625AD88" w14:textId="77777777" w:rsidR="009B36CF" w:rsidRPr="00043D57" w:rsidRDefault="009B36CF" w:rsidP="00F714C4">
            <w:pPr>
              <w:contextualSpacing/>
              <w:rPr>
                <w:rFonts w:eastAsiaTheme="minorEastAsia"/>
                <w:b/>
                <w:bCs/>
                <w:lang w:val="en-US" w:eastAsia="zh-CN"/>
              </w:rPr>
            </w:pPr>
            <w:r w:rsidRPr="00043D57">
              <w:rPr>
                <w:rFonts w:eastAsiaTheme="minorEastAsia"/>
                <w:b/>
                <w:bCs/>
                <w:lang w:val="en-US" w:eastAsia="zh-CN"/>
              </w:rPr>
              <w:t>RVQOE metric</w:t>
            </w:r>
          </w:p>
        </w:tc>
        <w:tc>
          <w:tcPr>
            <w:tcW w:w="6048" w:type="dxa"/>
          </w:tcPr>
          <w:p w14:paraId="1E7F2E2C" w14:textId="77777777" w:rsidR="009B36CF" w:rsidRPr="00043D57" w:rsidRDefault="009B36CF" w:rsidP="00F714C4">
            <w:pPr>
              <w:contextualSpacing/>
              <w:rPr>
                <w:rFonts w:eastAsiaTheme="minorEastAsia"/>
                <w:b/>
                <w:bCs/>
                <w:lang w:val="en-US" w:eastAsia="zh-CN"/>
              </w:rPr>
            </w:pPr>
            <w:r w:rsidRPr="00043D57">
              <w:rPr>
                <w:rFonts w:eastAsiaTheme="minorEastAsia"/>
                <w:b/>
                <w:bCs/>
                <w:lang w:val="en-US" w:eastAsia="zh-CN"/>
              </w:rPr>
              <w:t>Description</w:t>
            </w:r>
          </w:p>
        </w:tc>
        <w:tc>
          <w:tcPr>
            <w:tcW w:w="2065" w:type="dxa"/>
          </w:tcPr>
          <w:p w14:paraId="101B19E4" w14:textId="77777777" w:rsidR="009B36CF" w:rsidRPr="00043D57" w:rsidRDefault="009B36CF" w:rsidP="00F714C4">
            <w:pPr>
              <w:contextualSpacing/>
              <w:rPr>
                <w:rFonts w:eastAsiaTheme="minorEastAsia"/>
                <w:b/>
                <w:bCs/>
                <w:lang w:val="en-US" w:eastAsia="zh-CN"/>
              </w:rPr>
            </w:pPr>
            <w:r w:rsidRPr="00043D57">
              <w:rPr>
                <w:rFonts w:eastAsiaTheme="minorEastAsia"/>
                <w:b/>
                <w:bCs/>
                <w:lang w:val="en-US" w:eastAsia="zh-CN"/>
              </w:rPr>
              <w:t>Potential benefits to RAN</w:t>
            </w:r>
          </w:p>
        </w:tc>
      </w:tr>
      <w:tr w:rsidR="009B36CF" w14:paraId="27B93E6F" w14:textId="77777777" w:rsidTr="00FD7A73">
        <w:tc>
          <w:tcPr>
            <w:tcW w:w="1237" w:type="dxa"/>
          </w:tcPr>
          <w:p w14:paraId="3DD1A8E1" w14:textId="77777777" w:rsidR="009B36CF" w:rsidRDefault="009B36CF" w:rsidP="00F714C4">
            <w:pPr>
              <w:contextualSpacing/>
              <w:rPr>
                <w:rFonts w:eastAsiaTheme="minorEastAsia"/>
                <w:lang w:val="en-US" w:eastAsia="zh-CN"/>
              </w:rPr>
            </w:pPr>
            <w:r w:rsidRPr="00E37564">
              <w:rPr>
                <w:rFonts w:eastAsiaTheme="minorEastAsia"/>
                <w:lang w:val="en-US" w:eastAsia="zh-CN"/>
              </w:rPr>
              <w:t>Buffer Level</w:t>
            </w:r>
          </w:p>
        </w:tc>
        <w:tc>
          <w:tcPr>
            <w:tcW w:w="6048" w:type="dxa"/>
          </w:tcPr>
          <w:p w14:paraId="2F489515" w14:textId="77777777" w:rsidR="009B36CF" w:rsidRDefault="009B36CF" w:rsidP="00F714C4">
            <w:pPr>
              <w:pStyle w:val="NormalWeb"/>
              <w:rPr>
                <w:sz w:val="20"/>
                <w:szCs w:val="20"/>
                <w:lang w:val="en-GB"/>
              </w:rPr>
            </w:pPr>
            <w:r w:rsidRPr="00F41970">
              <w:rPr>
                <w:sz w:val="20"/>
                <w:szCs w:val="20"/>
                <w:lang w:val="en-GB"/>
              </w:rPr>
              <w:t>Indicates the</w:t>
            </w:r>
            <w:r>
              <w:rPr>
                <w:sz w:val="20"/>
                <w:szCs w:val="20"/>
                <w:lang w:val="en-GB"/>
              </w:rPr>
              <w:t xml:space="preserve"> </w:t>
            </w:r>
            <w:r w:rsidRPr="00F41970">
              <w:rPr>
                <w:sz w:val="20"/>
                <w:szCs w:val="20"/>
                <w:lang w:val="en-GB"/>
              </w:rPr>
              <w:t>playout duration for which media data of all active</w:t>
            </w:r>
            <w:r>
              <w:rPr>
                <w:sz w:val="20"/>
                <w:szCs w:val="20"/>
                <w:lang w:val="en-GB"/>
              </w:rPr>
              <w:t xml:space="preserve"> </w:t>
            </w:r>
            <w:r w:rsidRPr="00F41970">
              <w:rPr>
                <w:sz w:val="20"/>
                <w:szCs w:val="20"/>
                <w:lang w:val="en-GB"/>
              </w:rPr>
              <w:t>media components is available starting from the</w:t>
            </w:r>
            <w:r>
              <w:rPr>
                <w:sz w:val="20"/>
                <w:szCs w:val="20"/>
                <w:lang w:val="en-GB"/>
              </w:rPr>
              <w:t xml:space="preserve"> </w:t>
            </w:r>
            <w:r w:rsidRPr="00F41970">
              <w:rPr>
                <w:sz w:val="20"/>
                <w:szCs w:val="20"/>
                <w:lang w:val="en-GB"/>
              </w:rPr>
              <w:t>current playout time.</w:t>
            </w:r>
          </w:p>
          <w:p w14:paraId="0E8C1C33" w14:textId="77777777" w:rsidR="009B36CF" w:rsidRDefault="009B36CF" w:rsidP="00F714C4">
            <w:pPr>
              <w:pStyle w:val="NormalWeb"/>
              <w:rPr>
                <w:sz w:val="20"/>
                <w:szCs w:val="20"/>
                <w:lang w:val="en-GB"/>
              </w:rPr>
            </w:pPr>
            <w:r w:rsidRPr="006C3D5D">
              <w:rPr>
                <w:sz w:val="20"/>
                <w:szCs w:val="20"/>
                <w:lang w:val="en-GB"/>
              </w:rPr>
              <w:t>A list of buffer occupancy level measurements during playout at normal speed.</w:t>
            </w:r>
            <w:r>
              <w:rPr>
                <w:sz w:val="20"/>
                <w:szCs w:val="20"/>
                <w:lang w:val="en-GB"/>
              </w:rPr>
              <w:t xml:space="preserve"> </w:t>
            </w:r>
            <w:r w:rsidRPr="00F41970">
              <w:rPr>
                <w:sz w:val="20"/>
                <w:szCs w:val="20"/>
                <w:lang w:val="en-GB"/>
              </w:rPr>
              <w:t>Level of the buffer</w:t>
            </w:r>
            <w:r>
              <w:rPr>
                <w:sz w:val="20"/>
                <w:szCs w:val="20"/>
                <w:lang w:val="en-GB"/>
              </w:rPr>
              <w:t xml:space="preserve"> is included</w:t>
            </w:r>
            <w:r w:rsidRPr="00F41970">
              <w:rPr>
                <w:sz w:val="20"/>
                <w:szCs w:val="20"/>
                <w:lang w:val="en-GB"/>
              </w:rPr>
              <w:t xml:space="preserve"> in </w:t>
            </w:r>
            <w:r w:rsidRPr="006409FC">
              <w:rPr>
                <w:b/>
                <w:bCs/>
                <w:sz w:val="20"/>
                <w:szCs w:val="20"/>
                <w:lang w:val="en-GB"/>
              </w:rPr>
              <w:t>milliseconds</w:t>
            </w:r>
            <w:r w:rsidRPr="00F41970">
              <w:rPr>
                <w:sz w:val="20"/>
                <w:szCs w:val="20"/>
                <w:lang w:val="en-GB"/>
              </w:rPr>
              <w:t xml:space="preserve">. </w:t>
            </w:r>
          </w:p>
          <w:p w14:paraId="302294A3" w14:textId="77777777" w:rsidR="009B36CF" w:rsidRDefault="009B36CF" w:rsidP="00F714C4">
            <w:pPr>
              <w:pStyle w:val="NormalWeb"/>
              <w:rPr>
                <w:sz w:val="20"/>
                <w:szCs w:val="20"/>
                <w:lang w:val="en-GB"/>
              </w:rPr>
            </w:pPr>
            <w:r w:rsidRPr="00C464F6">
              <w:rPr>
                <w:sz w:val="20"/>
                <w:szCs w:val="20"/>
                <w:lang w:val="en-GB"/>
              </w:rPr>
              <w:t>Time of the measurement of the buffer level</w:t>
            </w:r>
            <w:r>
              <w:rPr>
                <w:sz w:val="20"/>
                <w:szCs w:val="20"/>
                <w:lang w:val="en-GB"/>
              </w:rPr>
              <w:t xml:space="preserve"> is also included. </w:t>
            </w:r>
            <w:r w:rsidRPr="00B27E0D">
              <w:rPr>
                <w:sz w:val="20"/>
                <w:szCs w:val="20"/>
                <w:lang w:val="en-GB"/>
              </w:rPr>
              <w:t>Annex D.4.5 in ISO/IEC 23009-1 defines the metrics for buffer level status events</w:t>
            </w:r>
            <w:r>
              <w:rPr>
                <w:sz w:val="20"/>
                <w:szCs w:val="20"/>
                <w:lang w:val="en-GB"/>
              </w:rPr>
              <w:t xml:space="preserve"> as follows:</w:t>
            </w:r>
          </w:p>
          <w:p w14:paraId="39AD0F53" w14:textId="77777777" w:rsidR="009B36CF" w:rsidRPr="00F76EA8" w:rsidRDefault="009B36CF" w:rsidP="00F714C4">
            <w:pPr>
              <w:pStyle w:val="NormalWeb"/>
              <w:rPr>
                <w:sz w:val="20"/>
                <w:szCs w:val="20"/>
                <w:lang w:val="en-GB"/>
              </w:rPr>
            </w:pPr>
            <w:r>
              <w:rPr>
                <w:noProof/>
              </w:rPr>
              <w:drawing>
                <wp:inline distT="0" distB="0" distL="0" distR="0" wp14:anchorId="49094F1F" wp14:editId="052D23A5">
                  <wp:extent cx="3417570" cy="11550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17570" cy="1155065"/>
                          </a:xfrm>
                          <a:prstGeom prst="rect">
                            <a:avLst/>
                          </a:prstGeom>
                        </pic:spPr>
                      </pic:pic>
                    </a:graphicData>
                  </a:graphic>
                </wp:inline>
              </w:drawing>
            </w:r>
          </w:p>
        </w:tc>
        <w:tc>
          <w:tcPr>
            <w:tcW w:w="2065" w:type="dxa"/>
          </w:tcPr>
          <w:p w14:paraId="3F31C263" w14:textId="7040D8B2" w:rsidR="009B36CF" w:rsidRDefault="009B36CF" w:rsidP="00F714C4">
            <w:pPr>
              <w:contextualSpacing/>
              <w:rPr>
                <w:rFonts w:eastAsiaTheme="minorEastAsia"/>
                <w:lang w:val="en-US" w:eastAsia="zh-CN"/>
              </w:rPr>
            </w:pPr>
            <w:r w:rsidRPr="00110B42">
              <w:rPr>
                <w:rFonts w:eastAsiaTheme="minorEastAsia"/>
                <w:lang w:val="en-US" w:eastAsia="zh-CN"/>
              </w:rPr>
              <w:t>Better mobility decisions at RAN based on buffer level (e.g., the selection of HO type between legacy HO, DAPS HO or CHO), leading to seamless connectivity and a lower risk of video stalling</w:t>
            </w:r>
          </w:p>
          <w:p w14:paraId="02C61057" w14:textId="036D8DD6" w:rsidR="0054353D" w:rsidRDefault="0054353D" w:rsidP="00F714C4">
            <w:pPr>
              <w:contextualSpacing/>
              <w:rPr>
                <w:rFonts w:eastAsiaTheme="minorEastAsia"/>
                <w:lang w:val="en-US" w:eastAsia="zh-CN"/>
              </w:rPr>
            </w:pPr>
          </w:p>
          <w:p w14:paraId="1CE6EF03" w14:textId="47C26C3C" w:rsidR="0054353D" w:rsidRPr="00110B42" w:rsidRDefault="0054353D" w:rsidP="00F714C4">
            <w:pPr>
              <w:contextualSpacing/>
              <w:rPr>
                <w:rFonts w:eastAsiaTheme="minorEastAsia"/>
                <w:lang w:val="en-US" w:eastAsia="zh-CN"/>
              </w:rPr>
            </w:pPr>
            <w:r>
              <w:rPr>
                <w:rFonts w:eastAsiaTheme="minorEastAsia"/>
                <w:lang w:val="en-US" w:eastAsia="zh-CN"/>
              </w:rPr>
              <w:t>Assists</w:t>
            </w:r>
            <w:r w:rsidRPr="0054353D">
              <w:rPr>
                <w:rFonts w:eastAsiaTheme="minorEastAsia"/>
                <w:lang w:val="en-US" w:eastAsia="zh-CN"/>
              </w:rPr>
              <w:t xml:space="preserve"> </w:t>
            </w:r>
            <w:r>
              <w:rPr>
                <w:rFonts w:eastAsiaTheme="minorEastAsia"/>
                <w:lang w:val="en-US" w:eastAsia="zh-CN"/>
              </w:rPr>
              <w:t>NG-</w:t>
            </w:r>
            <w:r w:rsidRPr="0054353D">
              <w:rPr>
                <w:rFonts w:eastAsiaTheme="minorEastAsia"/>
                <w:lang w:val="en-US" w:eastAsia="zh-CN"/>
              </w:rPr>
              <w:t xml:space="preserve">RAN </w:t>
            </w:r>
            <w:r w:rsidR="00990060">
              <w:rPr>
                <w:rFonts w:eastAsiaTheme="minorEastAsia"/>
                <w:lang w:val="en-US" w:eastAsia="zh-CN"/>
              </w:rPr>
              <w:t xml:space="preserve">to </w:t>
            </w:r>
            <w:r w:rsidRPr="0054353D">
              <w:rPr>
                <w:rFonts w:eastAsiaTheme="minorEastAsia"/>
                <w:lang w:val="en-US" w:eastAsia="zh-CN"/>
              </w:rPr>
              <w:t xml:space="preserve">adjust the resource allocation for the UE. For example, the base station will consider scheduling more radio resources to those streams which reports </w:t>
            </w:r>
            <w:r w:rsidR="005D2A78">
              <w:rPr>
                <w:rFonts w:eastAsiaTheme="minorEastAsia"/>
                <w:lang w:val="en-US" w:eastAsia="zh-CN"/>
              </w:rPr>
              <w:t>higher</w:t>
            </w:r>
            <w:r w:rsidRPr="0054353D">
              <w:rPr>
                <w:rFonts w:eastAsiaTheme="minorEastAsia"/>
                <w:lang w:val="en-US" w:eastAsia="zh-CN"/>
              </w:rPr>
              <w:t xml:space="preserve"> buffer level so </w:t>
            </w:r>
            <w:r w:rsidR="00990060">
              <w:rPr>
                <w:rFonts w:eastAsiaTheme="minorEastAsia"/>
                <w:lang w:val="en-US" w:eastAsia="zh-CN"/>
              </w:rPr>
              <w:t>as</w:t>
            </w:r>
            <w:r w:rsidRPr="0054353D">
              <w:rPr>
                <w:rFonts w:eastAsiaTheme="minorEastAsia"/>
                <w:lang w:val="en-US" w:eastAsia="zh-CN"/>
              </w:rPr>
              <w:t xml:space="preserve"> to guarantee the stream will be process</w:t>
            </w:r>
            <w:r w:rsidR="00990060">
              <w:rPr>
                <w:rFonts w:eastAsiaTheme="minorEastAsia"/>
                <w:lang w:val="en-US" w:eastAsia="zh-CN"/>
              </w:rPr>
              <w:t xml:space="preserve">ed </w:t>
            </w:r>
            <w:r w:rsidRPr="0054353D">
              <w:rPr>
                <w:rFonts w:eastAsiaTheme="minorEastAsia"/>
                <w:lang w:val="en-US" w:eastAsia="zh-CN"/>
              </w:rPr>
              <w:t>properly.</w:t>
            </w:r>
          </w:p>
          <w:p w14:paraId="25C2E17E" w14:textId="77777777" w:rsidR="009B36CF" w:rsidRDefault="009B36CF" w:rsidP="00F714C4">
            <w:pPr>
              <w:contextualSpacing/>
              <w:rPr>
                <w:rFonts w:eastAsiaTheme="minorEastAsia"/>
                <w:lang w:val="en-US" w:eastAsia="zh-CN"/>
              </w:rPr>
            </w:pPr>
          </w:p>
          <w:p w14:paraId="72FB24A2" w14:textId="2A6BFB74" w:rsidR="005D2A78" w:rsidRDefault="005D2A78" w:rsidP="00F714C4">
            <w:pPr>
              <w:contextualSpacing/>
              <w:rPr>
                <w:rFonts w:eastAsiaTheme="minorEastAsia"/>
                <w:lang w:val="en-US" w:eastAsia="zh-CN"/>
              </w:rPr>
            </w:pPr>
          </w:p>
        </w:tc>
      </w:tr>
      <w:tr w:rsidR="000D1E8A" w14:paraId="574D5F1E" w14:textId="77777777" w:rsidTr="00FD7A73">
        <w:tc>
          <w:tcPr>
            <w:tcW w:w="1237" w:type="dxa"/>
          </w:tcPr>
          <w:p w14:paraId="21AE6D11" w14:textId="6B7949B7" w:rsidR="000D1E8A" w:rsidRPr="00E37564" w:rsidRDefault="000D1E8A" w:rsidP="000D1E8A">
            <w:pPr>
              <w:contextualSpacing/>
              <w:rPr>
                <w:rFonts w:eastAsiaTheme="minorEastAsia"/>
                <w:lang w:val="en-US" w:eastAsia="zh-CN"/>
              </w:rPr>
            </w:pPr>
            <w:r>
              <w:t>Buffer level Alarm</w:t>
            </w:r>
          </w:p>
        </w:tc>
        <w:tc>
          <w:tcPr>
            <w:tcW w:w="6048" w:type="dxa"/>
          </w:tcPr>
          <w:p w14:paraId="270DD8BC" w14:textId="49868035" w:rsidR="000D1E8A" w:rsidRDefault="00C468FD" w:rsidP="000D1E8A">
            <w:pPr>
              <w:contextualSpacing/>
            </w:pPr>
            <w:r>
              <w:t>B</w:t>
            </w:r>
            <w:r w:rsidR="000D1E8A">
              <w:t xml:space="preserve">uffer level corresponds to the </w:t>
            </w:r>
            <w:r w:rsidR="000D1E8A" w:rsidRPr="006B2E29">
              <w:rPr>
                <w:b/>
                <w:bCs/>
              </w:rPr>
              <w:t>DL buffer at the UE application client</w:t>
            </w:r>
            <w:r w:rsidR="000D1E8A">
              <w:t>, indicating the "</w:t>
            </w:r>
            <w:r w:rsidR="000D1E8A" w:rsidRPr="006B2E29">
              <w:rPr>
                <w:i/>
                <w:iCs/>
              </w:rPr>
              <w:t>playout duration for which media data of all active media components is available starting from the current playout time</w:t>
            </w:r>
            <w:r w:rsidR="000D1E8A">
              <w:t xml:space="preserve">". </w:t>
            </w:r>
          </w:p>
          <w:p w14:paraId="59406376" w14:textId="77777777" w:rsidR="000D1E8A" w:rsidRDefault="000D1E8A" w:rsidP="000D1E8A">
            <w:pPr>
              <w:contextualSpacing/>
            </w:pPr>
          </w:p>
          <w:p w14:paraId="1634846E" w14:textId="77777777" w:rsidR="000D1E8A" w:rsidRDefault="000D1E8A" w:rsidP="000D1E8A">
            <w:pPr>
              <w:contextualSpacing/>
            </w:pPr>
            <w:r>
              <w:lastRenderedPageBreak/>
              <w:t xml:space="preserve">In normal operation, when the buffer level falls below a given threshold, an end-to-end flow control in the client will request further data to be sent from the application server. </w:t>
            </w:r>
          </w:p>
          <w:p w14:paraId="77C92C46" w14:textId="77777777" w:rsidR="000D1E8A" w:rsidRDefault="000D1E8A" w:rsidP="000D1E8A">
            <w:pPr>
              <w:contextualSpacing/>
            </w:pPr>
          </w:p>
          <w:p w14:paraId="7BB48218" w14:textId="77777777" w:rsidR="000D1E8A" w:rsidRDefault="000D1E8A" w:rsidP="000D1E8A">
            <w:pPr>
              <w:contextualSpacing/>
            </w:pPr>
            <w:r>
              <w:t xml:space="preserve">If the application server, transport network or the RAN is </w:t>
            </w:r>
            <w:r w:rsidRPr="00C468FD">
              <w:rPr>
                <w:b/>
                <w:bCs/>
                <w:u w:val="single"/>
              </w:rPr>
              <w:t>congested</w:t>
            </w:r>
            <w:r>
              <w:t xml:space="preserve">, the client in the UE will not receive the needed information for continued streaming. </w:t>
            </w:r>
          </w:p>
          <w:p w14:paraId="56EFDEE9" w14:textId="77777777" w:rsidR="000D1E8A" w:rsidRDefault="000D1E8A" w:rsidP="000D1E8A">
            <w:pPr>
              <w:contextualSpacing/>
            </w:pPr>
          </w:p>
          <w:p w14:paraId="4B4764CA" w14:textId="77777777" w:rsidR="000D1E8A" w:rsidRDefault="000D1E8A" w:rsidP="000D1E8A">
            <w:pPr>
              <w:contextualSpacing/>
            </w:pPr>
            <w:r>
              <w:t xml:space="preserve">In this situation we believe that availability of the absolute buffer level measurement in the RAN would not be easily exploitable. </w:t>
            </w:r>
          </w:p>
          <w:p w14:paraId="0CF2728D" w14:textId="77777777" w:rsidR="000D1E8A" w:rsidRDefault="000D1E8A" w:rsidP="000D1E8A">
            <w:pPr>
              <w:contextualSpacing/>
            </w:pPr>
          </w:p>
          <w:p w14:paraId="4C21448B" w14:textId="77777777" w:rsidR="000D1E8A" w:rsidRDefault="000D1E8A" w:rsidP="000D1E8A">
            <w:pPr>
              <w:contextualSpacing/>
            </w:pPr>
            <w:r>
              <w:t xml:space="preserve">However it could be discussed whether there is a benefit that derived information, e.g. that the client determines that the buffer level falls below an "alarm" level (defined by a second threshold, lower than the one used for nominal E2E flow control) is available in the RAN. </w:t>
            </w:r>
          </w:p>
          <w:p w14:paraId="334F609D" w14:textId="77777777" w:rsidR="000D1E8A" w:rsidRDefault="000D1E8A" w:rsidP="000D1E8A">
            <w:pPr>
              <w:contextualSpacing/>
            </w:pPr>
          </w:p>
          <w:p w14:paraId="073A31E4" w14:textId="6FE8F7C4" w:rsidR="000D1E8A" w:rsidRDefault="000D1E8A" w:rsidP="000D1E8A">
            <w:pPr>
              <w:contextualSpacing/>
            </w:pPr>
            <w:r>
              <w:t xml:space="preserve">In that case the RAN could check the DL buffer in the PDCP layer for the corresponding </w:t>
            </w:r>
            <w:r w:rsidR="00A53AA0">
              <w:t>DRB and</w:t>
            </w:r>
            <w:r>
              <w:t xml:space="preserve"> prioritize it in case data is actually buffered in the RAN (which would mean that the bottle-neck is situated in the RAN). </w:t>
            </w:r>
          </w:p>
          <w:p w14:paraId="3B9AF55A" w14:textId="2494229E" w:rsidR="000D1E8A" w:rsidRPr="00F41970" w:rsidRDefault="000D1E8A" w:rsidP="000D1E8A">
            <w:pPr>
              <w:pStyle w:val="NormalWeb"/>
              <w:rPr>
                <w:sz w:val="20"/>
                <w:szCs w:val="20"/>
                <w:lang w:val="en-GB"/>
              </w:rPr>
            </w:pPr>
            <w:r w:rsidRPr="00A53AA0">
              <w:rPr>
                <w:rFonts w:eastAsia="Malgun Gothic"/>
                <w:sz w:val="20"/>
                <w:szCs w:val="20"/>
                <w:lang w:val="en-GB"/>
              </w:rPr>
              <w:t>It is still an open question whether such additional mechanism will bring benefit on top of already existing mechanisms ensuring QoS for GBR bearers, or on top of mechanisms allocating resources while ensuring fairness between non-GBR bearers.</w:t>
            </w:r>
          </w:p>
        </w:tc>
        <w:tc>
          <w:tcPr>
            <w:tcW w:w="2065" w:type="dxa"/>
          </w:tcPr>
          <w:p w14:paraId="6200D76C" w14:textId="577612FD" w:rsidR="000D1E8A" w:rsidRDefault="000D1E8A" w:rsidP="000D1E8A">
            <w:pPr>
              <w:pStyle w:val="NormalWeb"/>
              <w:spacing w:before="0" w:beforeAutospacing="0" w:after="180" w:afterAutospacing="0"/>
              <w:rPr>
                <w:sz w:val="20"/>
                <w:szCs w:val="20"/>
                <w:lang w:val="en-GB"/>
              </w:rPr>
            </w:pPr>
            <w:r>
              <w:rPr>
                <w:sz w:val="20"/>
                <w:szCs w:val="20"/>
                <w:lang w:val="en-GB"/>
              </w:rPr>
              <w:lastRenderedPageBreak/>
              <w:t>A</w:t>
            </w:r>
            <w:r w:rsidRPr="006302D0">
              <w:rPr>
                <w:sz w:val="20"/>
                <w:szCs w:val="20"/>
                <w:lang w:val="en-GB"/>
              </w:rPr>
              <w:t xml:space="preserve"> UE going to be “starved” for DL streaming data could get higher scheduling </w:t>
            </w:r>
            <w:r w:rsidRPr="006302D0">
              <w:rPr>
                <w:sz w:val="20"/>
                <w:szCs w:val="20"/>
                <w:lang w:val="en-GB"/>
              </w:rPr>
              <w:lastRenderedPageBreak/>
              <w:t>priority, and that would help if DL data is already buffered in the CU-UP (PDCP buffer)).</w:t>
            </w:r>
          </w:p>
          <w:p w14:paraId="555523C6" w14:textId="77777777" w:rsidR="000D1E8A" w:rsidRDefault="000D1E8A" w:rsidP="000D1E8A">
            <w:pPr>
              <w:contextualSpacing/>
              <w:rPr>
                <w:rFonts w:eastAsiaTheme="minorEastAsia"/>
                <w:lang w:val="en-US" w:eastAsia="zh-CN"/>
              </w:rPr>
            </w:pPr>
            <w:r>
              <w:rPr>
                <w:rFonts w:eastAsiaTheme="minorEastAsia"/>
                <w:lang w:val="en-US" w:eastAsia="zh-CN"/>
              </w:rPr>
              <w:t>NG-</w:t>
            </w:r>
            <w:r w:rsidRPr="007D7D7A">
              <w:rPr>
                <w:rFonts w:eastAsiaTheme="minorEastAsia"/>
                <w:lang w:val="en-US" w:eastAsia="zh-CN"/>
              </w:rPr>
              <w:t>RAN will have to compare the received information with own DL PDCP buffer status for the RB. The play-list may also serve a statistical purpose, redundant with buffer level information.</w:t>
            </w:r>
          </w:p>
          <w:p w14:paraId="42C33ECF" w14:textId="77777777" w:rsidR="000D1E8A" w:rsidRPr="00110B42" w:rsidRDefault="000D1E8A" w:rsidP="000D1E8A">
            <w:pPr>
              <w:contextualSpacing/>
              <w:rPr>
                <w:rFonts w:eastAsiaTheme="minorEastAsia"/>
                <w:lang w:val="en-US" w:eastAsia="zh-CN"/>
              </w:rPr>
            </w:pPr>
          </w:p>
        </w:tc>
      </w:tr>
      <w:tr w:rsidR="000D1E8A" w14:paraId="1C7F6851" w14:textId="77777777" w:rsidTr="00FD7A73">
        <w:tc>
          <w:tcPr>
            <w:tcW w:w="1237" w:type="dxa"/>
          </w:tcPr>
          <w:p w14:paraId="72FA9BCA" w14:textId="77777777" w:rsidR="000D1E8A" w:rsidRDefault="000D1E8A" w:rsidP="000D1E8A">
            <w:pPr>
              <w:contextualSpacing/>
              <w:rPr>
                <w:rFonts w:eastAsiaTheme="minorEastAsia"/>
                <w:lang w:val="en-US" w:eastAsia="zh-CN"/>
              </w:rPr>
            </w:pPr>
            <w:r w:rsidRPr="00776749">
              <w:lastRenderedPageBreak/>
              <w:t>Playout Delay for Media Start-up</w:t>
            </w:r>
          </w:p>
        </w:tc>
        <w:tc>
          <w:tcPr>
            <w:tcW w:w="6048" w:type="dxa"/>
          </w:tcPr>
          <w:p w14:paraId="1337829B" w14:textId="77777777" w:rsidR="000D1E8A" w:rsidRDefault="000D1E8A" w:rsidP="000D1E8A">
            <w:pPr>
              <w:contextualSpacing/>
            </w:pPr>
            <w:r w:rsidRPr="00C90D3F">
              <w:t xml:space="preserve">The playout delay for media start-up is measured as the time in </w:t>
            </w:r>
            <w:r w:rsidRPr="00CB412F">
              <w:rPr>
                <w:b/>
                <w:bCs/>
              </w:rPr>
              <w:t>milliseconds</w:t>
            </w:r>
            <w:r w:rsidRPr="00C90D3F">
              <w:t xml:space="preserve"> from the time instant of DASH player receives play-back-start trigger to the instant of media playout.</w:t>
            </w:r>
          </w:p>
          <w:p w14:paraId="539A2F47" w14:textId="77777777" w:rsidR="000D1E8A" w:rsidRDefault="000D1E8A" w:rsidP="000D1E8A">
            <w:pPr>
              <w:contextualSpacing/>
            </w:pPr>
          </w:p>
          <w:p w14:paraId="5D148EC2" w14:textId="77777777" w:rsidR="000D1E8A" w:rsidRDefault="000D1E8A" w:rsidP="000D1E8A">
            <w:r w:rsidRPr="00CC1F51">
              <w:t xml:space="preserve">This metric </w:t>
            </w:r>
            <w:r>
              <w:rPr>
                <w:rFonts w:hint="eastAsia"/>
                <w:lang w:eastAsia="zh-CN"/>
              </w:rPr>
              <w:t>indicate</w:t>
            </w:r>
            <w:r w:rsidRPr="00CC1F51">
              <w:t xml:space="preserve">s the </w:t>
            </w:r>
            <w:r>
              <w:rPr>
                <w:rFonts w:hint="eastAsia"/>
                <w:lang w:eastAsia="zh-CN"/>
              </w:rPr>
              <w:t>waiting time that the user experiences for media start-up.</w:t>
            </w:r>
            <w:r>
              <w:rPr>
                <w:lang w:eastAsia="zh-CN"/>
              </w:rPr>
              <w:t xml:space="preserve"> </w:t>
            </w:r>
            <w:r>
              <w:t xml:space="preserve">The metric is only logged at the time point when the </w:t>
            </w:r>
            <w:r w:rsidRPr="00494B40">
              <w:rPr>
                <w:b/>
                <w:bCs/>
              </w:rPr>
              <w:t>media start-up happens</w:t>
            </w:r>
            <w:r>
              <w:t>.</w:t>
            </w:r>
          </w:p>
          <w:p w14:paraId="78B58BC1" w14:textId="77777777" w:rsidR="000D1E8A" w:rsidRDefault="000D1E8A" w:rsidP="00A1118A">
            <w:pPr>
              <w:pStyle w:val="B1"/>
              <w:numPr>
                <w:ilvl w:val="0"/>
                <w:numId w:val="3"/>
              </w:numPr>
              <w:rPr>
                <w:noProof/>
                <w:lang w:val="en-CA" w:eastAsia="zh-CN"/>
              </w:rPr>
            </w:pPr>
            <w:r w:rsidRPr="00B726F6">
              <w:rPr>
                <w:noProof/>
                <w:lang w:val="en-CA"/>
              </w:rPr>
              <w:t xml:space="preserve">If the MPD has been delivered earlier </w:t>
            </w:r>
            <w:r>
              <w:rPr>
                <w:rFonts w:hint="eastAsia"/>
                <w:noProof/>
                <w:lang w:val="en-CA" w:eastAsia="zh-CN"/>
              </w:rPr>
              <w:t>before the user clicks</w:t>
            </w:r>
            <w:r w:rsidRPr="00B726F6">
              <w:rPr>
                <w:noProof/>
                <w:lang w:val="en-CA"/>
              </w:rPr>
              <w:t>, it may include the</w:t>
            </w:r>
            <w:r>
              <w:rPr>
                <w:rFonts w:hint="eastAsia"/>
                <w:noProof/>
                <w:lang w:val="en-CA" w:eastAsia="zh-CN"/>
              </w:rPr>
              <w:t xml:space="preserve"> process time of MPD, the</w:t>
            </w:r>
            <w:r w:rsidRPr="00B726F6">
              <w:rPr>
                <w:noProof/>
                <w:lang w:val="en-CA"/>
              </w:rPr>
              <w:t xml:space="preserve"> fetch time of </w:t>
            </w:r>
            <w:r>
              <w:rPr>
                <w:rFonts w:hint="eastAsia"/>
                <w:noProof/>
                <w:lang w:val="en-CA" w:eastAsia="zh-CN"/>
              </w:rPr>
              <w:t xml:space="preserve">some </w:t>
            </w:r>
            <w:r w:rsidRPr="00B726F6">
              <w:rPr>
                <w:noProof/>
                <w:lang w:val="en-CA"/>
              </w:rPr>
              <w:t>media segment</w:t>
            </w:r>
            <w:r>
              <w:rPr>
                <w:rFonts w:hint="eastAsia"/>
                <w:noProof/>
                <w:lang w:val="en-CA" w:eastAsia="zh-CN"/>
              </w:rPr>
              <w:t>s which are required for media presentation, the process time of segments, and the</w:t>
            </w:r>
            <w:r w:rsidRPr="0017295F">
              <w:t xml:space="preserve"> </w:t>
            </w:r>
            <w:r>
              <w:rPr>
                <w:rFonts w:hint="eastAsia"/>
                <w:lang w:eastAsia="zh-CN"/>
              </w:rPr>
              <w:t xml:space="preserve">time for </w:t>
            </w:r>
            <w:r w:rsidRPr="0017295F">
              <w:t xml:space="preserve">media </w:t>
            </w:r>
            <w:r>
              <w:rPr>
                <w:rFonts w:hint="eastAsia"/>
                <w:lang w:eastAsia="zh-CN"/>
              </w:rPr>
              <w:t>decode and render to the user</w:t>
            </w:r>
            <w:r w:rsidRPr="00B726F6">
              <w:rPr>
                <w:noProof/>
                <w:lang w:val="en-CA"/>
              </w:rPr>
              <w:t>.</w:t>
            </w:r>
          </w:p>
          <w:p w14:paraId="67BF5ECD" w14:textId="77777777" w:rsidR="000D1E8A" w:rsidRPr="00975F9F" w:rsidRDefault="000D1E8A" w:rsidP="00A1118A">
            <w:pPr>
              <w:pStyle w:val="ListParagraph"/>
              <w:numPr>
                <w:ilvl w:val="0"/>
                <w:numId w:val="3"/>
              </w:numPr>
              <w:rPr>
                <w:rFonts w:eastAsiaTheme="minorEastAsia"/>
                <w:lang w:val="en-US" w:eastAsia="zh-CN"/>
              </w:rPr>
            </w:pPr>
            <w:r w:rsidRPr="00975F9F">
              <w:rPr>
                <w:noProof/>
                <w:lang w:val="en-CA"/>
              </w:rPr>
              <w:t xml:space="preserve">If no MPD has been fetched earlier, it </w:t>
            </w:r>
            <w:r w:rsidRPr="00975F9F">
              <w:rPr>
                <w:rFonts w:hint="eastAsia"/>
                <w:noProof/>
                <w:lang w:val="en-CA" w:eastAsia="zh-CN"/>
              </w:rPr>
              <w:t>also needs to add</w:t>
            </w:r>
            <w:r w:rsidRPr="00975F9F">
              <w:rPr>
                <w:noProof/>
                <w:lang w:val="en-CA"/>
              </w:rPr>
              <w:t xml:space="preserve"> </w:t>
            </w:r>
            <w:r w:rsidRPr="00975F9F">
              <w:rPr>
                <w:rFonts w:hint="eastAsia"/>
                <w:noProof/>
                <w:lang w:val="en-CA" w:eastAsia="zh-CN"/>
              </w:rPr>
              <w:t xml:space="preserve">the </w:t>
            </w:r>
            <w:r w:rsidRPr="00975F9F">
              <w:rPr>
                <w:noProof/>
                <w:lang w:val="en-CA"/>
              </w:rPr>
              <w:t>fetch time of MPD.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206"/>
              <w:gridCol w:w="1389"/>
            </w:tblGrid>
            <w:tr w:rsidR="000D1E8A" w:rsidRPr="00CC1F51" w14:paraId="01BC4A53" w14:textId="77777777" w:rsidTr="00F714C4">
              <w:trPr>
                <w:jc w:val="center"/>
              </w:trPr>
              <w:tc>
                <w:tcPr>
                  <w:tcW w:w="3206" w:type="dxa"/>
                  <w:shd w:val="clear" w:color="auto" w:fill="BFBFBF"/>
                </w:tcPr>
                <w:p w14:paraId="33A4C9B2" w14:textId="77777777" w:rsidR="000D1E8A" w:rsidRPr="00CC1F51" w:rsidRDefault="000D1E8A" w:rsidP="000D1E8A">
                  <w:pPr>
                    <w:pStyle w:val="TAH"/>
                    <w:rPr>
                      <w:rFonts w:eastAsia="MS Mincho"/>
                      <w:lang w:eastAsia="ja-JP"/>
                    </w:rPr>
                  </w:pPr>
                  <w:r w:rsidRPr="00CC1F51">
                    <w:rPr>
                      <w:rFonts w:eastAsia="MS Mincho"/>
                      <w:lang w:eastAsia="ja-JP"/>
                    </w:rPr>
                    <w:t>Key</w:t>
                  </w:r>
                </w:p>
              </w:tc>
              <w:tc>
                <w:tcPr>
                  <w:tcW w:w="1389" w:type="dxa"/>
                  <w:shd w:val="clear" w:color="auto" w:fill="BFBFBF"/>
                </w:tcPr>
                <w:p w14:paraId="53DA88BB" w14:textId="77777777" w:rsidR="000D1E8A" w:rsidRPr="00CC1F51" w:rsidRDefault="000D1E8A" w:rsidP="000D1E8A">
                  <w:pPr>
                    <w:pStyle w:val="TAH"/>
                    <w:rPr>
                      <w:rFonts w:eastAsia="MS Mincho"/>
                      <w:lang w:eastAsia="ja-JP"/>
                    </w:rPr>
                  </w:pPr>
                  <w:r w:rsidRPr="00CC1F51">
                    <w:rPr>
                      <w:rFonts w:eastAsia="MS Mincho"/>
                      <w:lang w:eastAsia="ja-JP"/>
                    </w:rPr>
                    <w:t>Type</w:t>
                  </w:r>
                </w:p>
              </w:tc>
            </w:tr>
            <w:tr w:rsidR="000D1E8A" w:rsidRPr="00CC1F51" w14:paraId="5742105D" w14:textId="77777777" w:rsidTr="00F714C4">
              <w:trPr>
                <w:jc w:val="center"/>
              </w:trPr>
              <w:tc>
                <w:tcPr>
                  <w:tcW w:w="3206" w:type="dxa"/>
                  <w:shd w:val="clear" w:color="auto" w:fill="FFFFFF"/>
                </w:tcPr>
                <w:p w14:paraId="2F7C0435" w14:textId="77777777" w:rsidR="000D1E8A" w:rsidRPr="001E55E3" w:rsidRDefault="000D1E8A" w:rsidP="000D1E8A">
                  <w:pPr>
                    <w:pStyle w:val="TAL"/>
                    <w:rPr>
                      <w:rFonts w:ascii="Courier New" w:hAnsi="Courier New" w:cs="Courier New"/>
                      <w:lang w:eastAsia="zh-CN"/>
                    </w:rPr>
                  </w:pPr>
                  <w:r w:rsidRPr="00CC1F51">
                    <w:rPr>
                      <w:rFonts w:ascii="Courier New" w:eastAsia="MS Mincho" w:hAnsi="Courier New" w:cs="Courier New"/>
                      <w:lang w:eastAsia="ja-JP"/>
                    </w:rPr>
                    <w:t>PlayoutDelay</w:t>
                  </w:r>
                  <w:r>
                    <w:rPr>
                      <w:rFonts w:ascii="Courier New" w:hAnsi="Courier New" w:cs="Courier New" w:hint="eastAsia"/>
                      <w:lang w:eastAsia="zh-CN"/>
                    </w:rPr>
                    <w:t>forMediaStartup</w:t>
                  </w:r>
                </w:p>
              </w:tc>
              <w:tc>
                <w:tcPr>
                  <w:tcW w:w="1389" w:type="dxa"/>
                  <w:shd w:val="clear" w:color="auto" w:fill="FFFFFF"/>
                </w:tcPr>
                <w:p w14:paraId="43BA259F" w14:textId="77777777" w:rsidR="000D1E8A" w:rsidRPr="00CC1F51" w:rsidRDefault="000D1E8A" w:rsidP="000D1E8A">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r>
          </w:tbl>
          <w:p w14:paraId="1C7AA431" w14:textId="77777777" w:rsidR="000D1E8A" w:rsidRDefault="000D1E8A" w:rsidP="000D1E8A">
            <w:pPr>
              <w:rPr>
                <w:rFonts w:eastAsiaTheme="minorEastAsia"/>
                <w:lang w:val="en-US" w:eastAsia="zh-CN"/>
              </w:rPr>
            </w:pPr>
          </w:p>
          <w:p w14:paraId="27F9AE90" w14:textId="77777777" w:rsidR="000D1E8A" w:rsidRPr="00975F9F" w:rsidRDefault="000D1E8A" w:rsidP="000D1E8A">
            <w:pPr>
              <w:rPr>
                <w:rFonts w:eastAsiaTheme="minorEastAsia"/>
                <w:lang w:val="en-US" w:eastAsia="zh-CN"/>
              </w:rPr>
            </w:pPr>
          </w:p>
        </w:tc>
        <w:tc>
          <w:tcPr>
            <w:tcW w:w="2065" w:type="dxa"/>
          </w:tcPr>
          <w:p w14:paraId="30AA9E15" w14:textId="77777777" w:rsidR="000D1E8A" w:rsidRDefault="000D1E8A" w:rsidP="000D1E8A">
            <w:pPr>
              <w:contextualSpacing/>
              <w:rPr>
                <w:rFonts w:eastAsiaTheme="minorEastAsia"/>
                <w:lang w:val="en-US" w:eastAsia="zh-CN"/>
              </w:rPr>
            </w:pPr>
            <w:r w:rsidRPr="00B92696">
              <w:rPr>
                <w:rFonts w:eastAsiaTheme="minorEastAsia"/>
                <w:lang w:val="en-US" w:eastAsia="zh-CN"/>
              </w:rPr>
              <w:t>RAN node can leverage this as a time budget to deliver the requested content without video stalling, while, at the same time, not over-allocating the precious radio resources to that service</w:t>
            </w:r>
          </w:p>
        </w:tc>
      </w:tr>
      <w:tr w:rsidR="000D1E8A" w14:paraId="5660577E" w14:textId="77777777" w:rsidTr="00FD7A73">
        <w:tc>
          <w:tcPr>
            <w:tcW w:w="1237" w:type="dxa"/>
            <w:shd w:val="clear" w:color="auto" w:fill="auto"/>
          </w:tcPr>
          <w:p w14:paraId="5ED1B95A" w14:textId="77777777" w:rsidR="000D1E8A" w:rsidRDefault="000D1E8A" w:rsidP="000D1E8A">
            <w:pPr>
              <w:contextualSpacing/>
              <w:rPr>
                <w:rFonts w:eastAsiaTheme="minorEastAsia"/>
                <w:lang w:val="en-US" w:eastAsia="zh-CN"/>
              </w:rPr>
            </w:pPr>
            <w:r w:rsidRPr="006F44C0">
              <w:t>Play List</w:t>
            </w:r>
          </w:p>
        </w:tc>
        <w:tc>
          <w:tcPr>
            <w:tcW w:w="6048" w:type="dxa"/>
          </w:tcPr>
          <w:p w14:paraId="2EC087F0" w14:textId="77777777" w:rsidR="000D1E8A" w:rsidRDefault="000D1E8A" w:rsidP="000D1E8A">
            <w:pPr>
              <w:pStyle w:val="NormalWeb"/>
              <w:spacing w:before="0" w:beforeAutospacing="0" w:after="180" w:afterAutospacing="0"/>
              <w:rPr>
                <w:sz w:val="20"/>
                <w:szCs w:val="20"/>
                <w:lang w:val="en-GB"/>
              </w:rPr>
            </w:pPr>
            <w:r w:rsidRPr="00B27E0D">
              <w:rPr>
                <w:sz w:val="20"/>
                <w:szCs w:val="20"/>
                <w:lang w:val="en-GB"/>
              </w:rPr>
              <w:t>A list of playback periods. A playback period is the time interval between a user action and whichever occurs soonest of the next user action, the end of playback or a failure that stops playback.</w:t>
            </w:r>
          </w:p>
          <w:p w14:paraId="2B2BDEA7" w14:textId="77777777" w:rsidR="000D1E8A" w:rsidRPr="00BA3395" w:rsidRDefault="000D1E8A" w:rsidP="000D1E8A">
            <w:pPr>
              <w:pStyle w:val="TH"/>
            </w:pPr>
            <w:r>
              <w:rPr>
                <w:noProof/>
              </w:rPr>
              <w:lastRenderedPageBreak/>
              <w:drawing>
                <wp:inline distT="0" distB="0" distL="0" distR="0" wp14:anchorId="2FBD1A14" wp14:editId="049E4065">
                  <wp:extent cx="3712210" cy="5797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2210" cy="579755"/>
                          </a:xfrm>
                          <a:prstGeom prst="rect">
                            <a:avLst/>
                          </a:prstGeom>
                          <a:noFill/>
                          <a:ln>
                            <a:noFill/>
                          </a:ln>
                        </pic:spPr>
                      </pic:pic>
                    </a:graphicData>
                  </a:graphic>
                </wp:inline>
              </w:drawing>
            </w:r>
          </w:p>
          <w:p w14:paraId="4D0965B0" w14:textId="77777777" w:rsidR="000D1E8A" w:rsidRPr="00BA3395" w:rsidRDefault="000D1E8A" w:rsidP="000D1E8A">
            <w:pPr>
              <w:pStyle w:val="TF"/>
            </w:pPr>
            <w:r>
              <w:t>Example for Playout</w:t>
            </w:r>
          </w:p>
          <w:p w14:paraId="7C8EF38A" w14:textId="77777777" w:rsidR="000D1E8A" w:rsidRDefault="000D1E8A" w:rsidP="000D1E8A">
            <w:pPr>
              <w:contextualSpacing/>
            </w:pPr>
            <w:r>
              <w:t>- 5 seconds of initial stalling</w:t>
            </w:r>
            <w:r>
              <w:br/>
              <w:t>- 10 seconds playing with representation 1</w:t>
            </w:r>
            <w:r>
              <w:br/>
              <w:t>- 15 seconds of stalling</w:t>
            </w:r>
            <w:r>
              <w:br/>
              <w:t>- 20 seconds playing with representation 2</w:t>
            </w:r>
            <w:r>
              <w:br/>
              <w:t>- 30 seconds playing with representation 1</w:t>
            </w:r>
          </w:p>
          <w:p w14:paraId="1321F6D6" w14:textId="77777777" w:rsidR="000D1E8A" w:rsidRDefault="000D1E8A" w:rsidP="000D1E8A">
            <w:pPr>
              <w:contextualSpacing/>
            </w:pPr>
          </w:p>
          <w:p w14:paraId="19073368" w14:textId="77777777" w:rsidR="000D1E8A" w:rsidRPr="00254FDD" w:rsidRDefault="000D1E8A" w:rsidP="000D1E8A">
            <w:pPr>
              <w:contextualSpacing/>
            </w:pPr>
            <w:r>
              <w:t>In last meeting, a simplified version was also proposed e.g., a</w:t>
            </w:r>
            <w:r w:rsidRPr="005B3657">
              <w:t>n indication from the application to the access stratum whenever the video representation change</w:t>
            </w:r>
            <w:r>
              <w:t>s</w:t>
            </w:r>
            <w:r w:rsidRPr="005B3657">
              <w:t xml:space="preserve"> or the video stalls</w:t>
            </w:r>
          </w:p>
        </w:tc>
        <w:tc>
          <w:tcPr>
            <w:tcW w:w="2065" w:type="dxa"/>
          </w:tcPr>
          <w:p w14:paraId="444BD115" w14:textId="77777777" w:rsidR="000D1E8A" w:rsidRPr="00043D57" w:rsidRDefault="000D1E8A" w:rsidP="000D1E8A">
            <w:pPr>
              <w:contextualSpacing/>
              <w:rPr>
                <w:rFonts w:eastAsiaTheme="minorEastAsia"/>
                <w:lang w:val="en-US" w:eastAsia="zh-CN"/>
              </w:rPr>
            </w:pPr>
            <w:r w:rsidRPr="00043D57">
              <w:rPr>
                <w:rFonts w:eastAsiaTheme="minorEastAsia"/>
                <w:lang w:val="en-US" w:eastAsia="zh-CN"/>
              </w:rPr>
              <w:lastRenderedPageBreak/>
              <w:t xml:space="preserve">Presented video quality and video stalling statistics, can be valuable at RAN for </w:t>
            </w:r>
            <w:r w:rsidRPr="00043D57">
              <w:rPr>
                <w:rFonts w:eastAsiaTheme="minorEastAsia"/>
                <w:b/>
                <w:bCs/>
                <w:lang w:val="en-US" w:eastAsia="zh-CN"/>
              </w:rPr>
              <w:t xml:space="preserve">radio resource partitioning </w:t>
            </w:r>
            <w:r w:rsidRPr="00043D57">
              <w:rPr>
                <w:rFonts w:eastAsiaTheme="minorEastAsia"/>
                <w:lang w:val="en-US" w:eastAsia="zh-CN"/>
              </w:rPr>
              <w:t xml:space="preserve">and </w:t>
            </w:r>
            <w:r w:rsidRPr="00043D57">
              <w:rPr>
                <w:rFonts w:eastAsiaTheme="minorEastAsia"/>
                <w:b/>
                <w:bCs/>
                <w:lang w:val="en-US" w:eastAsia="zh-CN"/>
              </w:rPr>
              <w:t>allocation</w:t>
            </w:r>
            <w:r w:rsidRPr="00043D57">
              <w:rPr>
                <w:rFonts w:eastAsiaTheme="minorEastAsia"/>
                <w:lang w:val="en-US" w:eastAsia="zh-CN"/>
              </w:rPr>
              <w:t xml:space="preserve"> among different users and services</w:t>
            </w:r>
          </w:p>
          <w:p w14:paraId="2BA0E43A" w14:textId="77777777" w:rsidR="000D1E8A" w:rsidRDefault="000D1E8A" w:rsidP="000D1E8A">
            <w:pPr>
              <w:contextualSpacing/>
              <w:rPr>
                <w:rFonts w:eastAsiaTheme="minorEastAsia"/>
                <w:lang w:val="en-US" w:eastAsia="zh-CN"/>
              </w:rPr>
            </w:pPr>
          </w:p>
        </w:tc>
      </w:tr>
      <w:tr w:rsidR="000D1E8A" w14:paraId="094C4488" w14:textId="77777777" w:rsidTr="00FD7A73">
        <w:tc>
          <w:tcPr>
            <w:tcW w:w="1237" w:type="dxa"/>
            <w:shd w:val="clear" w:color="auto" w:fill="auto"/>
          </w:tcPr>
          <w:p w14:paraId="199901D2" w14:textId="626FFD7B" w:rsidR="000D1E8A" w:rsidRPr="006F44C0" w:rsidRDefault="000D1E8A" w:rsidP="000D1E8A">
            <w:pPr>
              <w:contextualSpacing/>
            </w:pPr>
            <w:r>
              <w:lastRenderedPageBreak/>
              <w:t xml:space="preserve">VR </w:t>
            </w:r>
            <w:r w:rsidRPr="00FB04D0">
              <w:t>Interaction latency</w:t>
            </w:r>
          </w:p>
        </w:tc>
        <w:tc>
          <w:tcPr>
            <w:tcW w:w="6048" w:type="dxa"/>
          </w:tcPr>
          <w:p w14:paraId="4921E353" w14:textId="2961DD5D" w:rsidR="000D1E8A" w:rsidRDefault="000D1E8A" w:rsidP="000D1E8A">
            <w:pPr>
              <w:pStyle w:val="NormalWeb"/>
              <w:spacing w:before="0" w:beforeAutospacing="0" w:after="180" w:afterAutospacing="0"/>
              <w:rPr>
                <w:sz w:val="20"/>
                <w:szCs w:val="20"/>
                <w:lang w:val="en-GB"/>
              </w:rPr>
            </w:pPr>
            <w:r>
              <w:rPr>
                <w:sz w:val="20"/>
                <w:szCs w:val="20"/>
                <w:lang w:val="en-GB"/>
              </w:rPr>
              <w:t xml:space="preserve">From TS 26.929, </w:t>
            </w:r>
            <w:r w:rsidRPr="00A062BE">
              <w:rPr>
                <w:sz w:val="20"/>
                <w:szCs w:val="20"/>
                <w:lang w:val="en-GB"/>
              </w:rPr>
              <w:t>VR interaction latency is a key metric to evaluate the VR experience and it varies based on the VR content encoding, packing and delivery technologies, as well as VR device capabilities.</w:t>
            </w:r>
          </w:p>
          <w:p w14:paraId="3A5386B1" w14:textId="307626E7" w:rsidR="000D1E8A" w:rsidRDefault="000D1E8A" w:rsidP="000D1E8A">
            <w:pPr>
              <w:pStyle w:val="NormalWeb"/>
              <w:spacing w:before="0" w:beforeAutospacing="0" w:after="180" w:afterAutospacing="0"/>
              <w:rPr>
                <w:sz w:val="20"/>
                <w:szCs w:val="20"/>
                <w:lang w:val="en-GB"/>
              </w:rPr>
            </w:pPr>
            <w:r w:rsidRPr="00F20D18">
              <w:rPr>
                <w:sz w:val="20"/>
                <w:szCs w:val="20"/>
                <w:lang w:val="en-GB"/>
              </w:rPr>
              <w:t>The latency between user interaction and the corresponding response may involve interaction detection latency, DASH request latency, network delivery latency, receiver re-buffering latency and motion-to-photon latency.</w:t>
            </w:r>
          </w:p>
          <w:p w14:paraId="3FBF3A98" w14:textId="03D69D09" w:rsidR="000D1E8A" w:rsidRDefault="000D1E8A" w:rsidP="00A1118A">
            <w:pPr>
              <w:pStyle w:val="NormalWeb"/>
              <w:numPr>
                <w:ilvl w:val="0"/>
                <w:numId w:val="4"/>
              </w:numPr>
              <w:spacing w:before="0" w:beforeAutospacing="0" w:after="180" w:afterAutospacing="0"/>
              <w:rPr>
                <w:sz w:val="20"/>
                <w:szCs w:val="20"/>
                <w:lang w:val="en-GB"/>
              </w:rPr>
            </w:pPr>
            <w:r w:rsidRPr="008878C4">
              <w:rPr>
                <w:sz w:val="20"/>
                <w:szCs w:val="20"/>
                <w:lang w:val="en-GB"/>
              </w:rPr>
              <w:t>VR Interaction detection latency</w:t>
            </w:r>
          </w:p>
          <w:p w14:paraId="5B530BDA" w14:textId="7F413C96" w:rsidR="000D1E8A" w:rsidRDefault="000D1E8A" w:rsidP="00A1118A">
            <w:pPr>
              <w:pStyle w:val="NormalWeb"/>
              <w:numPr>
                <w:ilvl w:val="0"/>
                <w:numId w:val="4"/>
              </w:numPr>
              <w:spacing w:before="0" w:beforeAutospacing="0" w:after="180" w:afterAutospacing="0"/>
              <w:rPr>
                <w:sz w:val="20"/>
                <w:szCs w:val="20"/>
                <w:lang w:val="en-GB"/>
              </w:rPr>
            </w:pPr>
            <w:r w:rsidRPr="00042E1F">
              <w:rPr>
                <w:sz w:val="20"/>
                <w:szCs w:val="20"/>
                <w:lang w:val="en-GB"/>
              </w:rPr>
              <w:t>VR content access latency</w:t>
            </w:r>
          </w:p>
          <w:p w14:paraId="04BE43DA" w14:textId="299E8BF1" w:rsidR="000D1E8A" w:rsidRDefault="000D1E8A" w:rsidP="00A1118A">
            <w:pPr>
              <w:pStyle w:val="NormalWeb"/>
              <w:numPr>
                <w:ilvl w:val="0"/>
                <w:numId w:val="4"/>
              </w:numPr>
              <w:spacing w:before="0" w:beforeAutospacing="0" w:after="180" w:afterAutospacing="0"/>
              <w:rPr>
                <w:sz w:val="20"/>
                <w:szCs w:val="20"/>
                <w:lang w:val="en-GB"/>
              </w:rPr>
            </w:pPr>
            <w:r w:rsidRPr="00B17B10">
              <w:rPr>
                <w:sz w:val="20"/>
                <w:szCs w:val="20"/>
                <w:lang w:val="en-GB"/>
              </w:rPr>
              <w:t>VR decoding latency</w:t>
            </w:r>
          </w:p>
          <w:p w14:paraId="426B57D2" w14:textId="5F951991" w:rsidR="000D1E8A" w:rsidRDefault="000D1E8A" w:rsidP="00A1118A">
            <w:pPr>
              <w:pStyle w:val="NormalWeb"/>
              <w:numPr>
                <w:ilvl w:val="0"/>
                <w:numId w:val="4"/>
              </w:numPr>
              <w:spacing w:before="0" w:beforeAutospacing="0" w:after="180" w:afterAutospacing="0"/>
              <w:rPr>
                <w:sz w:val="20"/>
                <w:szCs w:val="20"/>
                <w:lang w:val="en-GB"/>
              </w:rPr>
            </w:pPr>
            <w:r w:rsidRPr="00930A90">
              <w:rPr>
                <w:sz w:val="20"/>
                <w:szCs w:val="20"/>
                <w:lang w:val="en-GB"/>
              </w:rPr>
              <w:t>VR rendering latency</w:t>
            </w:r>
          </w:p>
          <w:p w14:paraId="5A5EA2DD" w14:textId="07E9B7FF" w:rsidR="000D1E8A" w:rsidRDefault="000D1E8A" w:rsidP="000D1E8A">
            <w:pPr>
              <w:pStyle w:val="NormalWeb"/>
              <w:spacing w:before="0" w:beforeAutospacing="0" w:after="180" w:afterAutospacing="0"/>
              <w:rPr>
                <w:sz w:val="20"/>
                <w:szCs w:val="20"/>
                <w:lang w:val="en-GB"/>
              </w:rPr>
            </w:pPr>
            <w:r>
              <w:rPr>
                <w:sz w:val="20"/>
                <w:szCs w:val="20"/>
                <w:lang w:val="en-GB"/>
              </w:rPr>
              <w:t>VR</w:t>
            </w:r>
            <w:r w:rsidRPr="004408F3">
              <w:rPr>
                <w:sz w:val="20"/>
                <w:szCs w:val="20"/>
                <w:lang w:val="en-GB"/>
              </w:rPr>
              <w:t xml:space="preserve"> interaction latency has the same meaning as “</w:t>
            </w:r>
            <w:r w:rsidRPr="00930A90">
              <w:rPr>
                <w:b/>
                <w:bCs/>
                <w:sz w:val="20"/>
                <w:szCs w:val="20"/>
                <w:lang w:val="en-GB"/>
              </w:rPr>
              <w:t>Comparable quality viewport switching latency metric</w:t>
            </w:r>
            <w:r w:rsidRPr="004408F3">
              <w:rPr>
                <w:sz w:val="20"/>
                <w:szCs w:val="20"/>
                <w:lang w:val="en-GB"/>
              </w:rPr>
              <w:t>” in TS 26.118.</w:t>
            </w:r>
          </w:p>
          <w:p w14:paraId="495CE9A8" w14:textId="77777777" w:rsidR="000D1E8A" w:rsidRDefault="000D1E8A" w:rsidP="000D1E8A">
            <w:pPr>
              <w:pStyle w:val="NormalWeb"/>
              <w:spacing w:before="0" w:beforeAutospacing="0" w:after="180" w:afterAutospacing="0"/>
              <w:rPr>
                <w:sz w:val="20"/>
                <w:szCs w:val="20"/>
                <w:lang w:val="en-GB"/>
              </w:rPr>
            </w:pPr>
            <w:r w:rsidRPr="0030513E">
              <w:rPr>
                <w:sz w:val="20"/>
                <w:szCs w:val="20"/>
                <w:lang w:val="en-GB"/>
              </w:rPr>
              <w:t>The comparable quality viewport switching latency metric reports the latency and the quality-related factors when viewport movement causes quality degradations, such as when low-quality background content is briefly shown before the normal higher-quality is restored. Note that this metric is only relevant if the Advanced Video Media profile and region-wise packing is used. Also note that the metric currently does not report factors related to foveated rendering.</w:t>
            </w:r>
          </w:p>
          <w:tbl>
            <w:tblPr>
              <w:tblW w:w="55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236"/>
              <w:gridCol w:w="389"/>
              <w:gridCol w:w="277"/>
              <w:gridCol w:w="183"/>
              <w:gridCol w:w="53"/>
              <w:gridCol w:w="937"/>
              <w:gridCol w:w="3217"/>
            </w:tblGrid>
            <w:tr w:rsidR="000D1E8A" w:rsidRPr="00FD7A73" w14:paraId="3B3C3074" w14:textId="77777777" w:rsidTr="007F7216">
              <w:trPr>
                <w:cantSplit/>
                <w:trHeight w:val="15"/>
              </w:trPr>
              <w:tc>
                <w:tcPr>
                  <w:tcW w:w="1350" w:type="dxa"/>
                  <w:gridSpan w:val="5"/>
                </w:tcPr>
                <w:p w14:paraId="66F29D4B" w14:textId="77777777" w:rsidR="000D1E8A" w:rsidRPr="00FD7A73" w:rsidRDefault="000D1E8A" w:rsidP="000D1E8A">
                  <w:pPr>
                    <w:spacing w:before="60" w:after="60"/>
                    <w:rPr>
                      <w:rFonts w:ascii="Arial" w:hAnsi="Arial" w:cs="Arial"/>
                      <w:b/>
                      <w:sz w:val="14"/>
                      <w:szCs w:val="14"/>
                    </w:rPr>
                  </w:pPr>
                  <w:r w:rsidRPr="00FD7A73">
                    <w:rPr>
                      <w:rFonts w:ascii="Arial" w:hAnsi="Arial" w:cs="Arial"/>
                      <w:b/>
                      <w:sz w:val="14"/>
                      <w:szCs w:val="14"/>
                    </w:rPr>
                    <w:t>Key</w:t>
                  </w:r>
                </w:p>
              </w:tc>
              <w:tc>
                <w:tcPr>
                  <w:tcW w:w="990" w:type="dxa"/>
                  <w:gridSpan w:val="2"/>
                </w:tcPr>
                <w:p w14:paraId="048931B2" w14:textId="77777777" w:rsidR="000D1E8A" w:rsidRPr="00FD7A73" w:rsidRDefault="000D1E8A" w:rsidP="000D1E8A">
                  <w:pPr>
                    <w:spacing w:before="60" w:after="60"/>
                    <w:rPr>
                      <w:rFonts w:ascii="Arial" w:hAnsi="Arial" w:cs="Arial"/>
                      <w:b/>
                      <w:sz w:val="14"/>
                      <w:szCs w:val="14"/>
                    </w:rPr>
                  </w:pPr>
                  <w:r w:rsidRPr="00FD7A73">
                    <w:rPr>
                      <w:rFonts w:ascii="Arial" w:hAnsi="Arial" w:cs="Arial"/>
                      <w:b/>
                      <w:sz w:val="14"/>
                      <w:szCs w:val="14"/>
                    </w:rPr>
                    <w:t>Type</w:t>
                  </w:r>
                </w:p>
              </w:tc>
              <w:tc>
                <w:tcPr>
                  <w:tcW w:w="3217" w:type="dxa"/>
                  <w:shd w:val="clear" w:color="auto" w:fill="auto"/>
                </w:tcPr>
                <w:p w14:paraId="1E443F46" w14:textId="77777777" w:rsidR="000D1E8A" w:rsidRPr="007F7216" w:rsidRDefault="000D1E8A" w:rsidP="000D1E8A">
                  <w:pPr>
                    <w:spacing w:before="60" w:after="60"/>
                    <w:rPr>
                      <w:rFonts w:ascii="Arial" w:hAnsi="Arial" w:cs="Arial"/>
                      <w:b/>
                      <w:sz w:val="14"/>
                      <w:szCs w:val="14"/>
                    </w:rPr>
                  </w:pPr>
                  <w:r w:rsidRPr="007F7216">
                    <w:rPr>
                      <w:rFonts w:ascii="Arial" w:hAnsi="Arial" w:cs="Arial"/>
                      <w:b/>
                      <w:sz w:val="14"/>
                      <w:szCs w:val="14"/>
                    </w:rPr>
                    <w:t>Description</w:t>
                  </w:r>
                </w:p>
              </w:tc>
            </w:tr>
            <w:tr w:rsidR="000D1E8A" w:rsidRPr="00FD7A73" w14:paraId="36C36EB1" w14:textId="77777777" w:rsidTr="007F7216">
              <w:trPr>
                <w:cantSplit/>
                <w:trHeight w:val="15"/>
              </w:trPr>
              <w:tc>
                <w:tcPr>
                  <w:tcW w:w="1350" w:type="dxa"/>
                  <w:gridSpan w:val="5"/>
                </w:tcPr>
                <w:p w14:paraId="0F1BABAF"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CompQualLatency</w:t>
                  </w:r>
                </w:p>
              </w:tc>
              <w:tc>
                <w:tcPr>
                  <w:tcW w:w="990" w:type="dxa"/>
                  <w:gridSpan w:val="2"/>
                </w:tcPr>
                <w:p w14:paraId="33960E60" w14:textId="77777777" w:rsidR="000D1E8A" w:rsidRPr="00FD7A73" w:rsidRDefault="000D1E8A" w:rsidP="000D1E8A">
                  <w:pPr>
                    <w:spacing w:before="60" w:after="60"/>
                    <w:rPr>
                      <w:rStyle w:val="s2"/>
                      <w:rFonts w:ascii="Courier New" w:eastAsia="SimSun" w:hAnsi="Courier New" w:cs="Courier New"/>
                      <w:sz w:val="14"/>
                      <w:szCs w:val="14"/>
                    </w:rPr>
                  </w:pPr>
                  <w:r w:rsidRPr="00FD7A73">
                    <w:rPr>
                      <w:rFonts w:ascii="Courier New" w:eastAsia="Candara" w:hAnsi="Courier New" w:cs="Courier New"/>
                      <w:noProof/>
                      <w:sz w:val="14"/>
                      <w:szCs w:val="14"/>
                    </w:rPr>
                    <w:t>List</w:t>
                  </w:r>
                </w:p>
              </w:tc>
              <w:tc>
                <w:tcPr>
                  <w:tcW w:w="3217" w:type="dxa"/>
                  <w:shd w:val="clear" w:color="auto" w:fill="auto"/>
                </w:tcPr>
                <w:p w14:paraId="1EB23C63"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List of comparable quality viewport switching latencies</w:t>
                  </w:r>
                </w:p>
              </w:tc>
            </w:tr>
            <w:tr w:rsidR="000D1E8A" w:rsidRPr="00FD7A73" w14:paraId="18CF9663" w14:textId="77777777" w:rsidTr="007F7216">
              <w:trPr>
                <w:cantSplit/>
                <w:trHeight w:val="15"/>
              </w:trPr>
              <w:tc>
                <w:tcPr>
                  <w:tcW w:w="265" w:type="dxa"/>
                  <w:tcBorders>
                    <w:right w:val="single" w:sz="4" w:space="0" w:color="000000"/>
                  </w:tcBorders>
                </w:tcPr>
                <w:p w14:paraId="027A5625" w14:textId="77777777" w:rsidR="000D1E8A" w:rsidRPr="00FD7A73" w:rsidRDefault="000D1E8A" w:rsidP="000D1E8A">
                  <w:pPr>
                    <w:spacing w:before="60" w:after="60"/>
                    <w:rPr>
                      <w:rFonts w:ascii="Courier New" w:hAnsi="Courier New" w:cs="Courier New"/>
                      <w:sz w:val="14"/>
                      <w:szCs w:val="14"/>
                    </w:rPr>
                  </w:pPr>
                </w:p>
              </w:tc>
              <w:tc>
                <w:tcPr>
                  <w:tcW w:w="1085" w:type="dxa"/>
                  <w:gridSpan w:val="4"/>
                </w:tcPr>
                <w:p w14:paraId="2A4774C0" w14:textId="77777777" w:rsidR="000D1E8A" w:rsidRPr="00FD7A73" w:rsidRDefault="000D1E8A" w:rsidP="000D1E8A">
                  <w:pPr>
                    <w:spacing w:before="60" w:after="60"/>
                    <w:rPr>
                      <w:rFonts w:ascii="Courier New" w:hAnsi="Courier New" w:cs="Courier New"/>
                      <w:i/>
                      <w:sz w:val="14"/>
                      <w:szCs w:val="14"/>
                    </w:rPr>
                  </w:pPr>
                  <w:r w:rsidRPr="00FD7A73">
                    <w:rPr>
                      <w:rFonts w:ascii="Courier New" w:hAnsi="Courier New" w:cs="Courier New"/>
                      <w:i/>
                      <w:sz w:val="14"/>
                      <w:szCs w:val="14"/>
                    </w:rPr>
                    <w:t>Entry</w:t>
                  </w:r>
                </w:p>
              </w:tc>
              <w:tc>
                <w:tcPr>
                  <w:tcW w:w="990" w:type="dxa"/>
                  <w:gridSpan w:val="2"/>
                </w:tcPr>
                <w:p w14:paraId="1256C325"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Object</w:t>
                  </w:r>
                </w:p>
              </w:tc>
              <w:tc>
                <w:tcPr>
                  <w:tcW w:w="3217" w:type="dxa"/>
                  <w:shd w:val="clear" w:color="auto" w:fill="auto"/>
                </w:tcPr>
                <w:p w14:paraId="2589214F" w14:textId="77777777" w:rsidR="000D1E8A" w:rsidRPr="007F7216" w:rsidRDefault="000D1E8A" w:rsidP="000D1E8A">
                  <w:pPr>
                    <w:spacing w:before="60" w:after="60"/>
                    <w:rPr>
                      <w:rStyle w:val="s2"/>
                      <w:rFonts w:ascii="Arial" w:eastAsia="SimSun" w:hAnsi="Arial" w:cs="Arial"/>
                      <w:sz w:val="14"/>
                      <w:szCs w:val="14"/>
                    </w:rPr>
                  </w:pPr>
                </w:p>
              </w:tc>
            </w:tr>
            <w:tr w:rsidR="000D1E8A" w:rsidRPr="00FD7A73" w14:paraId="65C12AFE" w14:textId="77777777" w:rsidTr="007F7216">
              <w:trPr>
                <w:cantSplit/>
                <w:trHeight w:val="15"/>
              </w:trPr>
              <w:tc>
                <w:tcPr>
                  <w:tcW w:w="265" w:type="dxa"/>
                  <w:tcBorders>
                    <w:right w:val="single" w:sz="4" w:space="0" w:color="000000"/>
                  </w:tcBorders>
                </w:tcPr>
                <w:p w14:paraId="6EC920C4"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34FAE003"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1770A0A5"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firstViewport</w:t>
                  </w:r>
                </w:p>
              </w:tc>
              <w:tc>
                <w:tcPr>
                  <w:tcW w:w="990" w:type="dxa"/>
                  <w:gridSpan w:val="2"/>
                </w:tcPr>
                <w:p w14:paraId="56CF8D57"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ViewportItem</w:t>
                  </w:r>
                </w:p>
              </w:tc>
              <w:tc>
                <w:tcPr>
                  <w:tcW w:w="3217" w:type="dxa"/>
                  <w:shd w:val="clear" w:color="auto" w:fill="auto"/>
                </w:tcPr>
                <w:p w14:paraId="736E33AB"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 xml:space="preserve">Specifies information about the first viewport  </w:t>
                  </w:r>
                </w:p>
              </w:tc>
            </w:tr>
            <w:tr w:rsidR="000D1E8A" w:rsidRPr="00FD7A73" w14:paraId="2CBB16EC" w14:textId="77777777" w:rsidTr="007F7216">
              <w:trPr>
                <w:cantSplit/>
                <w:trHeight w:val="15"/>
              </w:trPr>
              <w:tc>
                <w:tcPr>
                  <w:tcW w:w="265" w:type="dxa"/>
                  <w:tcBorders>
                    <w:right w:val="single" w:sz="4" w:space="0" w:color="000000"/>
                  </w:tcBorders>
                </w:tcPr>
                <w:p w14:paraId="3E9B467D"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65EBF8AF"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28B03229"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secondViewport</w:t>
                  </w:r>
                </w:p>
              </w:tc>
              <w:tc>
                <w:tcPr>
                  <w:tcW w:w="990" w:type="dxa"/>
                  <w:gridSpan w:val="2"/>
                </w:tcPr>
                <w:p w14:paraId="0A81078B"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ViewportItem</w:t>
                  </w:r>
                </w:p>
              </w:tc>
              <w:tc>
                <w:tcPr>
                  <w:tcW w:w="3217" w:type="dxa"/>
                  <w:shd w:val="clear" w:color="auto" w:fill="auto"/>
                </w:tcPr>
                <w:p w14:paraId="130B1F43"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 xml:space="preserve">Specifies information about the second viewport </w:t>
                  </w:r>
                </w:p>
              </w:tc>
            </w:tr>
            <w:tr w:rsidR="000D1E8A" w:rsidRPr="00FD7A73" w14:paraId="483E5A38" w14:textId="77777777" w:rsidTr="007F7216">
              <w:trPr>
                <w:cantSplit/>
                <w:trHeight w:val="15"/>
              </w:trPr>
              <w:tc>
                <w:tcPr>
                  <w:tcW w:w="265" w:type="dxa"/>
                  <w:tcBorders>
                    <w:right w:val="single" w:sz="4" w:space="0" w:color="000000"/>
                  </w:tcBorders>
                </w:tcPr>
                <w:p w14:paraId="206B1D73"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485583B8"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13AAF380"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worstViewport</w:t>
                  </w:r>
                </w:p>
              </w:tc>
              <w:tc>
                <w:tcPr>
                  <w:tcW w:w="990" w:type="dxa"/>
                  <w:gridSpan w:val="2"/>
                </w:tcPr>
                <w:p w14:paraId="204C3E2F"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ViewportItem</w:t>
                  </w:r>
                </w:p>
              </w:tc>
              <w:tc>
                <w:tcPr>
                  <w:tcW w:w="3217" w:type="dxa"/>
                  <w:shd w:val="clear" w:color="auto" w:fill="auto"/>
                </w:tcPr>
                <w:p w14:paraId="27FA4BE5"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Specifies information about the worst viewport seen during the switch duration</w:t>
                  </w:r>
                </w:p>
              </w:tc>
            </w:tr>
            <w:tr w:rsidR="000D1E8A" w:rsidRPr="00FD7A73" w14:paraId="7791FABB" w14:textId="77777777" w:rsidTr="007F7216">
              <w:trPr>
                <w:cantSplit/>
                <w:trHeight w:val="15"/>
              </w:trPr>
              <w:tc>
                <w:tcPr>
                  <w:tcW w:w="265" w:type="dxa"/>
                  <w:tcBorders>
                    <w:right w:val="single" w:sz="4" w:space="0" w:color="000000"/>
                  </w:tcBorders>
                </w:tcPr>
                <w:p w14:paraId="1B1801DE"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030C6E3B"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0EED72F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time</w:t>
                  </w:r>
                </w:p>
              </w:tc>
              <w:tc>
                <w:tcPr>
                  <w:tcW w:w="990" w:type="dxa"/>
                  <w:gridSpan w:val="2"/>
                </w:tcPr>
                <w:p w14:paraId="46609460"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Real-Time</w:t>
                  </w:r>
                </w:p>
              </w:tc>
              <w:tc>
                <w:tcPr>
                  <w:tcW w:w="3217" w:type="dxa"/>
                  <w:shd w:val="clear" w:color="auto" w:fill="auto"/>
                </w:tcPr>
                <w:p w14:paraId="0228F029"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Wall-clock time when the switch started</w:t>
                  </w:r>
                </w:p>
              </w:tc>
            </w:tr>
            <w:tr w:rsidR="000D1E8A" w:rsidRPr="00FD7A73" w14:paraId="06008B11" w14:textId="77777777" w:rsidTr="007F7216">
              <w:trPr>
                <w:cantSplit/>
                <w:trHeight w:val="15"/>
              </w:trPr>
              <w:tc>
                <w:tcPr>
                  <w:tcW w:w="265" w:type="dxa"/>
                  <w:tcBorders>
                    <w:right w:val="single" w:sz="4" w:space="0" w:color="000000"/>
                  </w:tcBorders>
                </w:tcPr>
                <w:p w14:paraId="364CCDB9"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3B7D1171"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4812F0B8"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Mtime</w:t>
                  </w:r>
                </w:p>
              </w:tc>
              <w:tc>
                <w:tcPr>
                  <w:tcW w:w="990" w:type="dxa"/>
                  <w:gridSpan w:val="2"/>
                </w:tcPr>
                <w:p w14:paraId="19A9A66D"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Media-Time</w:t>
                  </w:r>
                </w:p>
              </w:tc>
              <w:tc>
                <w:tcPr>
                  <w:tcW w:w="3217" w:type="dxa"/>
                  <w:shd w:val="clear" w:color="auto" w:fill="auto"/>
                </w:tcPr>
                <w:p w14:paraId="1C626670"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Media presentation time when the switch started.</w:t>
                  </w:r>
                </w:p>
              </w:tc>
            </w:tr>
            <w:tr w:rsidR="000D1E8A" w:rsidRPr="00FD7A73" w14:paraId="36EDA834" w14:textId="77777777" w:rsidTr="007F7216">
              <w:trPr>
                <w:cantSplit/>
                <w:trHeight w:val="15"/>
              </w:trPr>
              <w:tc>
                <w:tcPr>
                  <w:tcW w:w="265" w:type="dxa"/>
                  <w:tcBorders>
                    <w:right w:val="single" w:sz="4" w:space="0" w:color="000000"/>
                  </w:tcBorders>
                </w:tcPr>
                <w:p w14:paraId="5DE3BD60"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04E5008B"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605280D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Latency</w:t>
                  </w:r>
                </w:p>
              </w:tc>
              <w:tc>
                <w:tcPr>
                  <w:tcW w:w="990" w:type="dxa"/>
                  <w:gridSpan w:val="2"/>
                </w:tcPr>
                <w:p w14:paraId="5826196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Integer</w:t>
                  </w:r>
                </w:p>
              </w:tc>
              <w:tc>
                <w:tcPr>
                  <w:tcW w:w="3217" w:type="dxa"/>
                  <w:shd w:val="clear" w:color="auto" w:fill="auto"/>
                </w:tcPr>
                <w:p w14:paraId="48A9D8C4"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Specifies the switching delay in milliseconds.</w:t>
                  </w:r>
                </w:p>
              </w:tc>
            </w:tr>
            <w:tr w:rsidR="000D1E8A" w:rsidRPr="00FD7A73" w14:paraId="089583E1" w14:textId="77777777" w:rsidTr="007F7216">
              <w:trPr>
                <w:cantSplit/>
                <w:trHeight w:val="15"/>
              </w:trPr>
              <w:tc>
                <w:tcPr>
                  <w:tcW w:w="265" w:type="dxa"/>
                  <w:tcBorders>
                    <w:right w:val="single" w:sz="4" w:space="0" w:color="000000"/>
                  </w:tcBorders>
                </w:tcPr>
                <w:p w14:paraId="565A93ED"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6BE9DE69"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060650E4"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Accuracy</w:t>
                  </w:r>
                </w:p>
              </w:tc>
              <w:tc>
                <w:tcPr>
                  <w:tcW w:w="990" w:type="dxa"/>
                  <w:gridSpan w:val="2"/>
                </w:tcPr>
                <w:p w14:paraId="3B5A004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Integer</w:t>
                  </w:r>
                </w:p>
              </w:tc>
              <w:tc>
                <w:tcPr>
                  <w:tcW w:w="3217" w:type="dxa"/>
                  <w:shd w:val="clear" w:color="auto" w:fill="auto"/>
                </w:tcPr>
                <w:p w14:paraId="06C9D8F9"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Specifies the estimated accuracy of the latency metric in milliseconds</w:t>
                  </w:r>
                </w:p>
              </w:tc>
            </w:tr>
            <w:tr w:rsidR="000D1E8A" w:rsidRPr="00FD7A73" w14:paraId="482D3EA0" w14:textId="77777777" w:rsidTr="007F7216">
              <w:trPr>
                <w:cantSplit/>
                <w:trHeight w:val="15"/>
              </w:trPr>
              <w:tc>
                <w:tcPr>
                  <w:tcW w:w="265" w:type="dxa"/>
                  <w:tcBorders>
                    <w:right w:val="single" w:sz="4" w:space="0" w:color="000000"/>
                  </w:tcBorders>
                </w:tcPr>
                <w:p w14:paraId="6AF103C9"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3B2B26F0"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018194D7"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Cause</w:t>
                  </w:r>
                </w:p>
              </w:tc>
              <w:tc>
                <w:tcPr>
                  <w:tcW w:w="990" w:type="dxa"/>
                  <w:gridSpan w:val="2"/>
                </w:tcPr>
                <w:p w14:paraId="6337B2CD"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List</w:t>
                  </w:r>
                </w:p>
              </w:tc>
              <w:tc>
                <w:tcPr>
                  <w:tcW w:w="3217" w:type="dxa"/>
                  <w:shd w:val="clear" w:color="auto" w:fill="auto"/>
                </w:tcPr>
                <w:p w14:paraId="6AD3533D" w14:textId="77777777" w:rsidR="000D1E8A" w:rsidRPr="007F7216" w:rsidRDefault="000D1E8A" w:rsidP="000D1E8A">
                  <w:pPr>
                    <w:spacing w:before="60" w:after="60"/>
                    <w:rPr>
                      <w:rStyle w:val="s2"/>
                      <w:rFonts w:ascii="Arial" w:eastAsia="SimSun" w:hAnsi="Arial" w:cs="Arial"/>
                      <w:sz w:val="14"/>
                      <w:szCs w:val="14"/>
                    </w:rPr>
                  </w:pPr>
                  <w:r w:rsidRPr="007F7216">
                    <w:rPr>
                      <w:rFonts w:ascii="Arial" w:hAnsi="Arial" w:cs="Arial"/>
                      <w:sz w:val="14"/>
                      <w:szCs w:val="14"/>
                    </w:rPr>
                    <w:t>Specifies a list of possible causes for the latency.</w:t>
                  </w:r>
                </w:p>
              </w:tc>
            </w:tr>
            <w:tr w:rsidR="000D1E8A" w:rsidRPr="00FD7A73" w14:paraId="7614FA42" w14:textId="77777777" w:rsidTr="007F7216">
              <w:trPr>
                <w:cantSplit/>
                <w:trHeight w:val="15"/>
              </w:trPr>
              <w:tc>
                <w:tcPr>
                  <w:tcW w:w="265" w:type="dxa"/>
                  <w:tcBorders>
                    <w:right w:val="single" w:sz="4" w:space="0" w:color="000000"/>
                  </w:tcBorders>
                </w:tcPr>
                <w:p w14:paraId="0AC85685"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42ABF05A" w14:textId="77777777" w:rsidR="000D1E8A" w:rsidRPr="00FD7A73" w:rsidRDefault="000D1E8A" w:rsidP="000D1E8A">
                  <w:pPr>
                    <w:spacing w:before="60" w:after="60"/>
                    <w:rPr>
                      <w:rFonts w:ascii="Courier New" w:hAnsi="Courier New" w:cs="Courier New"/>
                      <w:sz w:val="14"/>
                      <w:szCs w:val="14"/>
                    </w:rPr>
                  </w:pPr>
                </w:p>
              </w:tc>
              <w:tc>
                <w:tcPr>
                  <w:tcW w:w="389" w:type="dxa"/>
                  <w:tcBorders>
                    <w:left w:val="single" w:sz="4" w:space="0" w:color="000000"/>
                  </w:tcBorders>
                </w:tcPr>
                <w:p w14:paraId="593083D6" w14:textId="77777777" w:rsidR="000D1E8A" w:rsidRPr="00FD7A73" w:rsidRDefault="000D1E8A" w:rsidP="000D1E8A">
                  <w:pPr>
                    <w:spacing w:before="60" w:after="60"/>
                    <w:rPr>
                      <w:rFonts w:ascii="Courier New" w:hAnsi="Courier New" w:cs="Courier New"/>
                      <w:sz w:val="14"/>
                      <w:szCs w:val="14"/>
                    </w:rPr>
                  </w:pPr>
                </w:p>
              </w:tc>
              <w:tc>
                <w:tcPr>
                  <w:tcW w:w="460" w:type="dxa"/>
                  <w:gridSpan w:val="2"/>
                  <w:tcBorders>
                    <w:left w:val="single" w:sz="4" w:space="0" w:color="000000"/>
                  </w:tcBorders>
                </w:tcPr>
                <w:p w14:paraId="353E8C19" w14:textId="77777777" w:rsidR="000D1E8A" w:rsidRPr="00FD7A73" w:rsidRDefault="000D1E8A" w:rsidP="000D1E8A">
                  <w:pPr>
                    <w:spacing w:before="60" w:after="60"/>
                    <w:rPr>
                      <w:rFonts w:ascii="Courier New" w:hAnsi="Courier New" w:cs="Courier New"/>
                      <w:i/>
                      <w:sz w:val="14"/>
                      <w:szCs w:val="14"/>
                    </w:rPr>
                  </w:pPr>
                  <w:r w:rsidRPr="00FD7A73">
                    <w:rPr>
                      <w:rFonts w:ascii="Courier New" w:hAnsi="Courier New" w:cs="Courier New"/>
                      <w:i/>
                      <w:sz w:val="14"/>
                      <w:szCs w:val="14"/>
                    </w:rPr>
                    <w:t>Entry</w:t>
                  </w:r>
                </w:p>
              </w:tc>
              <w:tc>
                <w:tcPr>
                  <w:tcW w:w="990" w:type="dxa"/>
                  <w:gridSpan w:val="2"/>
                </w:tcPr>
                <w:p w14:paraId="3B916F61"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Object</w:t>
                  </w:r>
                </w:p>
              </w:tc>
              <w:tc>
                <w:tcPr>
                  <w:tcW w:w="3217" w:type="dxa"/>
                  <w:shd w:val="clear" w:color="auto" w:fill="auto"/>
                </w:tcPr>
                <w:p w14:paraId="556A9CFA" w14:textId="77777777" w:rsidR="000D1E8A" w:rsidRPr="007F7216" w:rsidRDefault="000D1E8A" w:rsidP="000D1E8A">
                  <w:pPr>
                    <w:spacing w:before="60" w:after="60"/>
                    <w:rPr>
                      <w:rStyle w:val="s2"/>
                      <w:rFonts w:ascii="Arial" w:eastAsia="SimSun" w:hAnsi="Arial" w:cs="Arial"/>
                      <w:sz w:val="14"/>
                      <w:szCs w:val="14"/>
                    </w:rPr>
                  </w:pPr>
                </w:p>
              </w:tc>
            </w:tr>
            <w:tr w:rsidR="000D1E8A" w:rsidRPr="00FD7A73" w14:paraId="5B0F02E3" w14:textId="77777777" w:rsidTr="007F7216">
              <w:trPr>
                <w:cantSplit/>
                <w:trHeight w:val="15"/>
              </w:trPr>
              <w:tc>
                <w:tcPr>
                  <w:tcW w:w="265" w:type="dxa"/>
                  <w:tcBorders>
                    <w:right w:val="single" w:sz="4" w:space="0" w:color="000000"/>
                  </w:tcBorders>
                </w:tcPr>
                <w:p w14:paraId="1DD1B535"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11217638" w14:textId="77777777" w:rsidR="000D1E8A" w:rsidRPr="00FD7A73" w:rsidRDefault="000D1E8A" w:rsidP="000D1E8A">
                  <w:pPr>
                    <w:spacing w:before="60" w:after="60"/>
                    <w:rPr>
                      <w:rFonts w:ascii="Courier New" w:hAnsi="Courier New" w:cs="Courier New"/>
                      <w:sz w:val="14"/>
                      <w:szCs w:val="14"/>
                    </w:rPr>
                  </w:pPr>
                </w:p>
              </w:tc>
              <w:tc>
                <w:tcPr>
                  <w:tcW w:w="389" w:type="dxa"/>
                  <w:tcBorders>
                    <w:left w:val="single" w:sz="4" w:space="0" w:color="000000"/>
                  </w:tcBorders>
                </w:tcPr>
                <w:p w14:paraId="4BC0EC27" w14:textId="77777777" w:rsidR="000D1E8A" w:rsidRPr="00FD7A73" w:rsidRDefault="000D1E8A" w:rsidP="000D1E8A">
                  <w:pPr>
                    <w:spacing w:before="60" w:after="60"/>
                    <w:rPr>
                      <w:rFonts w:ascii="Courier New" w:hAnsi="Courier New" w:cs="Courier New"/>
                      <w:sz w:val="14"/>
                      <w:szCs w:val="14"/>
                    </w:rPr>
                  </w:pPr>
                </w:p>
              </w:tc>
              <w:tc>
                <w:tcPr>
                  <w:tcW w:w="277" w:type="dxa"/>
                  <w:tcBorders>
                    <w:left w:val="single" w:sz="4" w:space="0" w:color="000000"/>
                  </w:tcBorders>
                </w:tcPr>
                <w:p w14:paraId="43307BA5" w14:textId="77777777" w:rsidR="000D1E8A" w:rsidRPr="00FD7A73" w:rsidRDefault="000D1E8A" w:rsidP="000D1E8A">
                  <w:pPr>
                    <w:spacing w:before="60" w:after="60"/>
                    <w:rPr>
                      <w:rFonts w:ascii="Courier New" w:hAnsi="Courier New" w:cs="Courier New"/>
                      <w:sz w:val="14"/>
                      <w:szCs w:val="14"/>
                    </w:rPr>
                  </w:pPr>
                </w:p>
              </w:tc>
              <w:tc>
                <w:tcPr>
                  <w:tcW w:w="236" w:type="dxa"/>
                  <w:gridSpan w:val="2"/>
                  <w:tcBorders>
                    <w:left w:val="single" w:sz="4" w:space="0" w:color="000000"/>
                  </w:tcBorders>
                </w:tcPr>
                <w:p w14:paraId="36043CDD"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code</w:t>
                  </w:r>
                </w:p>
              </w:tc>
              <w:tc>
                <w:tcPr>
                  <w:tcW w:w="937" w:type="dxa"/>
                </w:tcPr>
                <w:p w14:paraId="5B9FAE8B"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Enum</w:t>
                  </w:r>
                </w:p>
              </w:tc>
              <w:tc>
                <w:tcPr>
                  <w:tcW w:w="3217" w:type="dxa"/>
                  <w:shd w:val="clear" w:color="auto" w:fill="auto"/>
                </w:tcPr>
                <w:p w14:paraId="17F7F68C"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A possible cause for the latency. The value is equal to one of the following:</w:t>
                  </w:r>
                </w:p>
                <w:p w14:paraId="1EBA097D"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- 0: Segment duration</w:t>
                  </w:r>
                </w:p>
                <w:p w14:paraId="620AD5D4"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- 1: Buffer fullness</w:t>
                  </w:r>
                </w:p>
                <w:p w14:paraId="54BA028D"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- 2: Availability of comparable quality segment</w:t>
                  </w:r>
                </w:p>
                <w:p w14:paraId="7F00C192"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- 3: Timeout</w:t>
                  </w:r>
                </w:p>
              </w:tc>
            </w:tr>
          </w:tbl>
          <w:p w14:paraId="1DE78373" w14:textId="4445EB33" w:rsidR="000D1E8A" w:rsidRPr="00B27E0D" w:rsidRDefault="000D1E8A" w:rsidP="000D1E8A">
            <w:pPr>
              <w:pStyle w:val="NormalWeb"/>
              <w:spacing w:before="0" w:beforeAutospacing="0" w:after="180" w:afterAutospacing="0"/>
              <w:rPr>
                <w:sz w:val="20"/>
                <w:szCs w:val="20"/>
                <w:lang w:val="en-GB"/>
              </w:rPr>
            </w:pPr>
          </w:p>
        </w:tc>
        <w:tc>
          <w:tcPr>
            <w:tcW w:w="2065" w:type="dxa"/>
          </w:tcPr>
          <w:p w14:paraId="55AA820E" w14:textId="77777777" w:rsidR="000D1E8A" w:rsidRPr="00043D57" w:rsidRDefault="000D1E8A" w:rsidP="000D1E8A">
            <w:pPr>
              <w:contextualSpacing/>
              <w:rPr>
                <w:rFonts w:eastAsiaTheme="minorEastAsia"/>
                <w:lang w:val="en-US" w:eastAsia="zh-CN"/>
              </w:rPr>
            </w:pPr>
          </w:p>
        </w:tc>
      </w:tr>
      <w:tr w:rsidR="000D1E8A" w14:paraId="53CFF74A" w14:textId="77777777" w:rsidTr="00FD7A73">
        <w:tc>
          <w:tcPr>
            <w:tcW w:w="1237" w:type="dxa"/>
            <w:shd w:val="clear" w:color="auto" w:fill="auto"/>
          </w:tcPr>
          <w:p w14:paraId="5CB48E92" w14:textId="3B11EADF" w:rsidR="000D1E8A" w:rsidRPr="00FB04D0" w:rsidRDefault="000D1E8A" w:rsidP="000D1E8A">
            <w:pPr>
              <w:contextualSpacing/>
            </w:pPr>
          </w:p>
        </w:tc>
        <w:tc>
          <w:tcPr>
            <w:tcW w:w="6048" w:type="dxa"/>
          </w:tcPr>
          <w:p w14:paraId="15CE5E12" w14:textId="51CE5EC4" w:rsidR="000D1E8A" w:rsidRDefault="000D1E8A" w:rsidP="000D1E8A">
            <w:pPr>
              <w:contextualSpacing/>
            </w:pPr>
          </w:p>
        </w:tc>
        <w:tc>
          <w:tcPr>
            <w:tcW w:w="2065" w:type="dxa"/>
          </w:tcPr>
          <w:p w14:paraId="28FB82A7" w14:textId="77777777" w:rsidR="000D1E8A" w:rsidRPr="00043D57" w:rsidRDefault="000D1E8A" w:rsidP="000D1E8A">
            <w:pPr>
              <w:contextualSpacing/>
              <w:rPr>
                <w:rFonts w:eastAsiaTheme="minorEastAsia"/>
                <w:lang w:val="en-US" w:eastAsia="zh-CN"/>
              </w:rPr>
            </w:pPr>
          </w:p>
        </w:tc>
      </w:tr>
    </w:tbl>
    <w:p w14:paraId="426D3B95" w14:textId="77777777" w:rsidR="00B953BC" w:rsidRPr="00B953BC" w:rsidRDefault="00B953BC" w:rsidP="00B953BC"/>
    <w:p w14:paraId="21A4B2B8" w14:textId="77777777" w:rsidR="00B953BC" w:rsidRPr="001062CC" w:rsidRDefault="00B953BC" w:rsidP="00385912"/>
    <w:sectPr w:rsidR="00B953BC" w:rsidRPr="001062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C1DF6" w14:textId="77777777" w:rsidR="004B6FCC" w:rsidRDefault="004B6FCC" w:rsidP="00390267">
      <w:pPr>
        <w:spacing w:after="0"/>
      </w:pPr>
      <w:r>
        <w:separator/>
      </w:r>
    </w:p>
  </w:endnote>
  <w:endnote w:type="continuationSeparator" w:id="0">
    <w:p w14:paraId="7377A595" w14:textId="77777777" w:rsidR="004B6FCC" w:rsidRDefault="004B6FCC" w:rsidP="00390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1D52A" w14:textId="77777777" w:rsidR="004B6FCC" w:rsidRDefault="004B6FCC" w:rsidP="00390267">
      <w:pPr>
        <w:spacing w:after="0"/>
      </w:pPr>
      <w:r>
        <w:separator/>
      </w:r>
    </w:p>
  </w:footnote>
  <w:footnote w:type="continuationSeparator" w:id="0">
    <w:p w14:paraId="178E6A36" w14:textId="77777777" w:rsidR="004B6FCC" w:rsidRDefault="004B6FCC" w:rsidP="003902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83533"/>
    <w:multiLevelType w:val="hybridMultilevel"/>
    <w:tmpl w:val="431AB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F059D"/>
    <w:multiLevelType w:val="hybridMultilevel"/>
    <w:tmpl w:val="40A8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E3560BB"/>
    <w:multiLevelType w:val="hybridMultilevel"/>
    <w:tmpl w:val="41326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 w15:restartNumberingAfterBreak="0">
    <w:nsid w:val="5776007A"/>
    <w:multiLevelType w:val="hybridMultilevel"/>
    <w:tmpl w:val="E410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E83BF1"/>
    <w:multiLevelType w:val="hybridMultilevel"/>
    <w:tmpl w:val="7BF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16055"/>
    <w:multiLevelType w:val="hybridMultilevel"/>
    <w:tmpl w:val="C1C2E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684134"/>
    <w:multiLevelType w:val="hybridMultilevel"/>
    <w:tmpl w:val="7954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0"/>
  </w:num>
  <w:num w:numId="6">
    <w:abstractNumId w:val="3"/>
  </w:num>
  <w:num w:numId="7">
    <w:abstractNumId w:val="1"/>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267"/>
    <w:rsid w:val="00000626"/>
    <w:rsid w:val="00002368"/>
    <w:rsid w:val="00003231"/>
    <w:rsid w:val="00005943"/>
    <w:rsid w:val="0000693F"/>
    <w:rsid w:val="000133D2"/>
    <w:rsid w:val="00015016"/>
    <w:rsid w:val="000159DA"/>
    <w:rsid w:val="00016861"/>
    <w:rsid w:val="00016D11"/>
    <w:rsid w:val="00017468"/>
    <w:rsid w:val="00017991"/>
    <w:rsid w:val="00021103"/>
    <w:rsid w:val="00021674"/>
    <w:rsid w:val="00022805"/>
    <w:rsid w:val="00024854"/>
    <w:rsid w:val="000309CC"/>
    <w:rsid w:val="00030DC4"/>
    <w:rsid w:val="000337E5"/>
    <w:rsid w:val="00034D4E"/>
    <w:rsid w:val="00042E1F"/>
    <w:rsid w:val="00043D57"/>
    <w:rsid w:val="0004428C"/>
    <w:rsid w:val="00044A44"/>
    <w:rsid w:val="00045A6F"/>
    <w:rsid w:val="0004799E"/>
    <w:rsid w:val="000510E1"/>
    <w:rsid w:val="000522F2"/>
    <w:rsid w:val="00052330"/>
    <w:rsid w:val="00052610"/>
    <w:rsid w:val="00052CFA"/>
    <w:rsid w:val="00054B56"/>
    <w:rsid w:val="00054FC9"/>
    <w:rsid w:val="00057345"/>
    <w:rsid w:val="00065B56"/>
    <w:rsid w:val="00067F1B"/>
    <w:rsid w:val="00074024"/>
    <w:rsid w:val="00081DF0"/>
    <w:rsid w:val="000851A6"/>
    <w:rsid w:val="0009056F"/>
    <w:rsid w:val="000906F1"/>
    <w:rsid w:val="00091533"/>
    <w:rsid w:val="00091987"/>
    <w:rsid w:val="000977E4"/>
    <w:rsid w:val="000A0881"/>
    <w:rsid w:val="000A3F81"/>
    <w:rsid w:val="000B040E"/>
    <w:rsid w:val="000B2746"/>
    <w:rsid w:val="000B3B18"/>
    <w:rsid w:val="000B5785"/>
    <w:rsid w:val="000C4CE8"/>
    <w:rsid w:val="000C5A9E"/>
    <w:rsid w:val="000C6936"/>
    <w:rsid w:val="000C6E57"/>
    <w:rsid w:val="000D176C"/>
    <w:rsid w:val="000D1E8A"/>
    <w:rsid w:val="000D2434"/>
    <w:rsid w:val="000D2CE5"/>
    <w:rsid w:val="000D34DA"/>
    <w:rsid w:val="000D6154"/>
    <w:rsid w:val="000D7C47"/>
    <w:rsid w:val="000E0EFE"/>
    <w:rsid w:val="000E2CF7"/>
    <w:rsid w:val="000E2D33"/>
    <w:rsid w:val="000E4516"/>
    <w:rsid w:val="000E57E3"/>
    <w:rsid w:val="000E5AEC"/>
    <w:rsid w:val="000E5DC1"/>
    <w:rsid w:val="000E71FE"/>
    <w:rsid w:val="000E7C72"/>
    <w:rsid w:val="000F559C"/>
    <w:rsid w:val="000F6131"/>
    <w:rsid w:val="001005BE"/>
    <w:rsid w:val="00100F17"/>
    <w:rsid w:val="00101D2D"/>
    <w:rsid w:val="001031E0"/>
    <w:rsid w:val="001044EA"/>
    <w:rsid w:val="001062CC"/>
    <w:rsid w:val="001065BA"/>
    <w:rsid w:val="00106E3D"/>
    <w:rsid w:val="00110B42"/>
    <w:rsid w:val="00111248"/>
    <w:rsid w:val="00112297"/>
    <w:rsid w:val="0011701D"/>
    <w:rsid w:val="001206C7"/>
    <w:rsid w:val="001207CA"/>
    <w:rsid w:val="00123145"/>
    <w:rsid w:val="001232D5"/>
    <w:rsid w:val="00131A82"/>
    <w:rsid w:val="00132969"/>
    <w:rsid w:val="00132E12"/>
    <w:rsid w:val="0013422F"/>
    <w:rsid w:val="0013445D"/>
    <w:rsid w:val="00137723"/>
    <w:rsid w:val="00137D58"/>
    <w:rsid w:val="001404E2"/>
    <w:rsid w:val="00143EC1"/>
    <w:rsid w:val="001458A2"/>
    <w:rsid w:val="00145C55"/>
    <w:rsid w:val="00145F97"/>
    <w:rsid w:val="001507A2"/>
    <w:rsid w:val="0015109E"/>
    <w:rsid w:val="001531F7"/>
    <w:rsid w:val="00154CD5"/>
    <w:rsid w:val="001551AD"/>
    <w:rsid w:val="00156795"/>
    <w:rsid w:val="00156A56"/>
    <w:rsid w:val="00160653"/>
    <w:rsid w:val="0016232A"/>
    <w:rsid w:val="00162821"/>
    <w:rsid w:val="0016508E"/>
    <w:rsid w:val="001665D8"/>
    <w:rsid w:val="0017344F"/>
    <w:rsid w:val="00174262"/>
    <w:rsid w:val="00174D63"/>
    <w:rsid w:val="00175B31"/>
    <w:rsid w:val="00177B78"/>
    <w:rsid w:val="00180097"/>
    <w:rsid w:val="001868ED"/>
    <w:rsid w:val="001879F8"/>
    <w:rsid w:val="00192919"/>
    <w:rsid w:val="00196205"/>
    <w:rsid w:val="001A07A9"/>
    <w:rsid w:val="001A19CE"/>
    <w:rsid w:val="001A735D"/>
    <w:rsid w:val="001A7B00"/>
    <w:rsid w:val="001B0473"/>
    <w:rsid w:val="001B0484"/>
    <w:rsid w:val="001B308A"/>
    <w:rsid w:val="001B372A"/>
    <w:rsid w:val="001B51BF"/>
    <w:rsid w:val="001B7DF3"/>
    <w:rsid w:val="001C3403"/>
    <w:rsid w:val="001C47D8"/>
    <w:rsid w:val="001C503E"/>
    <w:rsid w:val="001D0996"/>
    <w:rsid w:val="001D3A3D"/>
    <w:rsid w:val="001D43EB"/>
    <w:rsid w:val="001E036D"/>
    <w:rsid w:val="001E197A"/>
    <w:rsid w:val="001E29B1"/>
    <w:rsid w:val="001E2FE2"/>
    <w:rsid w:val="001F0CCC"/>
    <w:rsid w:val="0020333B"/>
    <w:rsid w:val="00204171"/>
    <w:rsid w:val="0020659A"/>
    <w:rsid w:val="00210269"/>
    <w:rsid w:val="00210F29"/>
    <w:rsid w:val="00211E4E"/>
    <w:rsid w:val="0021296A"/>
    <w:rsid w:val="002201DD"/>
    <w:rsid w:val="00222787"/>
    <w:rsid w:val="00223A3E"/>
    <w:rsid w:val="00224D4B"/>
    <w:rsid w:val="0023035C"/>
    <w:rsid w:val="00232110"/>
    <w:rsid w:val="00233C38"/>
    <w:rsid w:val="00235AE8"/>
    <w:rsid w:val="00236477"/>
    <w:rsid w:val="00241A13"/>
    <w:rsid w:val="00241AA2"/>
    <w:rsid w:val="00243074"/>
    <w:rsid w:val="002446C2"/>
    <w:rsid w:val="0024612E"/>
    <w:rsid w:val="00247D2E"/>
    <w:rsid w:val="00251C16"/>
    <w:rsid w:val="0025206C"/>
    <w:rsid w:val="00252602"/>
    <w:rsid w:val="0025265F"/>
    <w:rsid w:val="00253181"/>
    <w:rsid w:val="00254FDD"/>
    <w:rsid w:val="002567B9"/>
    <w:rsid w:val="002613DC"/>
    <w:rsid w:val="00263FE3"/>
    <w:rsid w:val="00265E53"/>
    <w:rsid w:val="002667BB"/>
    <w:rsid w:val="00266A7B"/>
    <w:rsid w:val="00267000"/>
    <w:rsid w:val="00272658"/>
    <w:rsid w:val="002740A7"/>
    <w:rsid w:val="00274F1C"/>
    <w:rsid w:val="00276A22"/>
    <w:rsid w:val="00277819"/>
    <w:rsid w:val="00277BE3"/>
    <w:rsid w:val="00282503"/>
    <w:rsid w:val="0028299B"/>
    <w:rsid w:val="00283D29"/>
    <w:rsid w:val="00286325"/>
    <w:rsid w:val="002873E5"/>
    <w:rsid w:val="002910F8"/>
    <w:rsid w:val="00291DE3"/>
    <w:rsid w:val="00293E34"/>
    <w:rsid w:val="00296442"/>
    <w:rsid w:val="002A0A3B"/>
    <w:rsid w:val="002A7851"/>
    <w:rsid w:val="002A78B5"/>
    <w:rsid w:val="002B2D4F"/>
    <w:rsid w:val="002B2F65"/>
    <w:rsid w:val="002B4FA7"/>
    <w:rsid w:val="002B6066"/>
    <w:rsid w:val="002B7562"/>
    <w:rsid w:val="002C4294"/>
    <w:rsid w:val="002C4D61"/>
    <w:rsid w:val="002C6911"/>
    <w:rsid w:val="002D08B0"/>
    <w:rsid w:val="002E0DD3"/>
    <w:rsid w:val="002E54A9"/>
    <w:rsid w:val="002E65EC"/>
    <w:rsid w:val="002F0151"/>
    <w:rsid w:val="002F4629"/>
    <w:rsid w:val="003014FF"/>
    <w:rsid w:val="003037C8"/>
    <w:rsid w:val="0030513E"/>
    <w:rsid w:val="00307970"/>
    <w:rsid w:val="00310D64"/>
    <w:rsid w:val="00312ACB"/>
    <w:rsid w:val="003156CF"/>
    <w:rsid w:val="003158A4"/>
    <w:rsid w:val="00315FC1"/>
    <w:rsid w:val="00321F02"/>
    <w:rsid w:val="003233C6"/>
    <w:rsid w:val="0032535E"/>
    <w:rsid w:val="003258CF"/>
    <w:rsid w:val="00326B89"/>
    <w:rsid w:val="003305B2"/>
    <w:rsid w:val="00330F71"/>
    <w:rsid w:val="0033306E"/>
    <w:rsid w:val="0034021E"/>
    <w:rsid w:val="003404C4"/>
    <w:rsid w:val="003407BF"/>
    <w:rsid w:val="00352B37"/>
    <w:rsid w:val="00356638"/>
    <w:rsid w:val="00364B9D"/>
    <w:rsid w:val="003653D9"/>
    <w:rsid w:val="003656B5"/>
    <w:rsid w:val="00365EC8"/>
    <w:rsid w:val="00370B80"/>
    <w:rsid w:val="00370FD6"/>
    <w:rsid w:val="003713A2"/>
    <w:rsid w:val="0037429A"/>
    <w:rsid w:val="003759E8"/>
    <w:rsid w:val="00376B20"/>
    <w:rsid w:val="0037752F"/>
    <w:rsid w:val="00377EEA"/>
    <w:rsid w:val="00377F17"/>
    <w:rsid w:val="0038047C"/>
    <w:rsid w:val="003806CA"/>
    <w:rsid w:val="00385912"/>
    <w:rsid w:val="003871CE"/>
    <w:rsid w:val="00390267"/>
    <w:rsid w:val="00392D6B"/>
    <w:rsid w:val="00394A66"/>
    <w:rsid w:val="00396B06"/>
    <w:rsid w:val="003A009E"/>
    <w:rsid w:val="003A19DB"/>
    <w:rsid w:val="003A2738"/>
    <w:rsid w:val="003A57B7"/>
    <w:rsid w:val="003B02CD"/>
    <w:rsid w:val="003B0A34"/>
    <w:rsid w:val="003B12F1"/>
    <w:rsid w:val="003B13E7"/>
    <w:rsid w:val="003B1C4C"/>
    <w:rsid w:val="003B7FF7"/>
    <w:rsid w:val="003C33F2"/>
    <w:rsid w:val="003C367D"/>
    <w:rsid w:val="003C578D"/>
    <w:rsid w:val="003C6680"/>
    <w:rsid w:val="003C6D4C"/>
    <w:rsid w:val="003D0AF9"/>
    <w:rsid w:val="003D0E25"/>
    <w:rsid w:val="003D1BC6"/>
    <w:rsid w:val="003D5F11"/>
    <w:rsid w:val="003D7A73"/>
    <w:rsid w:val="003E0C3C"/>
    <w:rsid w:val="003E4604"/>
    <w:rsid w:val="003E5989"/>
    <w:rsid w:val="003E5A18"/>
    <w:rsid w:val="003F1C4E"/>
    <w:rsid w:val="003F29B1"/>
    <w:rsid w:val="003F437E"/>
    <w:rsid w:val="003F4F4F"/>
    <w:rsid w:val="0040059F"/>
    <w:rsid w:val="0040385B"/>
    <w:rsid w:val="0040437D"/>
    <w:rsid w:val="004100BF"/>
    <w:rsid w:val="00414776"/>
    <w:rsid w:val="004236B0"/>
    <w:rsid w:val="0042414F"/>
    <w:rsid w:val="0042441F"/>
    <w:rsid w:val="0042579D"/>
    <w:rsid w:val="00426433"/>
    <w:rsid w:val="004276D9"/>
    <w:rsid w:val="00427D0D"/>
    <w:rsid w:val="00430800"/>
    <w:rsid w:val="00430894"/>
    <w:rsid w:val="0043140C"/>
    <w:rsid w:val="00434240"/>
    <w:rsid w:val="00434B09"/>
    <w:rsid w:val="00436D55"/>
    <w:rsid w:val="004377CD"/>
    <w:rsid w:val="004400A9"/>
    <w:rsid w:val="004408F3"/>
    <w:rsid w:val="00441094"/>
    <w:rsid w:val="00441BFB"/>
    <w:rsid w:val="00445115"/>
    <w:rsid w:val="00446B88"/>
    <w:rsid w:val="00450EAD"/>
    <w:rsid w:val="00455B30"/>
    <w:rsid w:val="00457D84"/>
    <w:rsid w:val="004603FD"/>
    <w:rsid w:val="004617DC"/>
    <w:rsid w:val="00464D48"/>
    <w:rsid w:val="00464E9C"/>
    <w:rsid w:val="00465506"/>
    <w:rsid w:val="00471BBB"/>
    <w:rsid w:val="004765A8"/>
    <w:rsid w:val="00482C33"/>
    <w:rsid w:val="004840E8"/>
    <w:rsid w:val="00484E36"/>
    <w:rsid w:val="00487E3A"/>
    <w:rsid w:val="00492DBC"/>
    <w:rsid w:val="004935DC"/>
    <w:rsid w:val="00494B40"/>
    <w:rsid w:val="00495B34"/>
    <w:rsid w:val="00497151"/>
    <w:rsid w:val="00497740"/>
    <w:rsid w:val="004A0912"/>
    <w:rsid w:val="004A0A0E"/>
    <w:rsid w:val="004A0C86"/>
    <w:rsid w:val="004A758A"/>
    <w:rsid w:val="004B3B5C"/>
    <w:rsid w:val="004B6FCC"/>
    <w:rsid w:val="004B7B8C"/>
    <w:rsid w:val="004B7C89"/>
    <w:rsid w:val="004C32A0"/>
    <w:rsid w:val="004C5214"/>
    <w:rsid w:val="004C6A5A"/>
    <w:rsid w:val="004C7691"/>
    <w:rsid w:val="004D05AC"/>
    <w:rsid w:val="004D0CBA"/>
    <w:rsid w:val="004D5934"/>
    <w:rsid w:val="004E0F35"/>
    <w:rsid w:val="004E4949"/>
    <w:rsid w:val="004E7E9F"/>
    <w:rsid w:val="004F1663"/>
    <w:rsid w:val="004F4376"/>
    <w:rsid w:val="004F4B6E"/>
    <w:rsid w:val="004F55D2"/>
    <w:rsid w:val="0050190D"/>
    <w:rsid w:val="005025FF"/>
    <w:rsid w:val="0050361D"/>
    <w:rsid w:val="00505779"/>
    <w:rsid w:val="00511631"/>
    <w:rsid w:val="00512B90"/>
    <w:rsid w:val="00513A79"/>
    <w:rsid w:val="00513DFD"/>
    <w:rsid w:val="00513F74"/>
    <w:rsid w:val="00514881"/>
    <w:rsid w:val="00517FEA"/>
    <w:rsid w:val="00522714"/>
    <w:rsid w:val="00523394"/>
    <w:rsid w:val="00524469"/>
    <w:rsid w:val="005266DF"/>
    <w:rsid w:val="0052732A"/>
    <w:rsid w:val="00530746"/>
    <w:rsid w:val="005309DF"/>
    <w:rsid w:val="00532FF8"/>
    <w:rsid w:val="005361F3"/>
    <w:rsid w:val="00540B46"/>
    <w:rsid w:val="00540E5F"/>
    <w:rsid w:val="005422D9"/>
    <w:rsid w:val="0054353D"/>
    <w:rsid w:val="005515ED"/>
    <w:rsid w:val="00552833"/>
    <w:rsid w:val="00552CB7"/>
    <w:rsid w:val="005536FA"/>
    <w:rsid w:val="00553E33"/>
    <w:rsid w:val="005540A8"/>
    <w:rsid w:val="005562D4"/>
    <w:rsid w:val="00556869"/>
    <w:rsid w:val="00557E0F"/>
    <w:rsid w:val="005619CF"/>
    <w:rsid w:val="00561C69"/>
    <w:rsid w:val="00562AB4"/>
    <w:rsid w:val="0056310E"/>
    <w:rsid w:val="00563FBD"/>
    <w:rsid w:val="005650C5"/>
    <w:rsid w:val="0056689E"/>
    <w:rsid w:val="005677F3"/>
    <w:rsid w:val="00573827"/>
    <w:rsid w:val="0057421C"/>
    <w:rsid w:val="005770C3"/>
    <w:rsid w:val="00581CC8"/>
    <w:rsid w:val="00582243"/>
    <w:rsid w:val="00583146"/>
    <w:rsid w:val="00583EDA"/>
    <w:rsid w:val="00584561"/>
    <w:rsid w:val="00585C82"/>
    <w:rsid w:val="005909FA"/>
    <w:rsid w:val="0059200B"/>
    <w:rsid w:val="00592906"/>
    <w:rsid w:val="005A0965"/>
    <w:rsid w:val="005A1CAB"/>
    <w:rsid w:val="005A2B0C"/>
    <w:rsid w:val="005A36F7"/>
    <w:rsid w:val="005A730A"/>
    <w:rsid w:val="005B1D77"/>
    <w:rsid w:val="005B20C8"/>
    <w:rsid w:val="005B2DE9"/>
    <w:rsid w:val="005B3657"/>
    <w:rsid w:val="005B3EB3"/>
    <w:rsid w:val="005C318D"/>
    <w:rsid w:val="005C429B"/>
    <w:rsid w:val="005C54AF"/>
    <w:rsid w:val="005C5C6A"/>
    <w:rsid w:val="005C72CE"/>
    <w:rsid w:val="005D0502"/>
    <w:rsid w:val="005D2A78"/>
    <w:rsid w:val="005D6173"/>
    <w:rsid w:val="005D7130"/>
    <w:rsid w:val="005E1568"/>
    <w:rsid w:val="005E5EC8"/>
    <w:rsid w:val="005E6C19"/>
    <w:rsid w:val="005F0C8C"/>
    <w:rsid w:val="005F7DB2"/>
    <w:rsid w:val="006044FA"/>
    <w:rsid w:val="006119BD"/>
    <w:rsid w:val="00615908"/>
    <w:rsid w:val="00617896"/>
    <w:rsid w:val="006200AD"/>
    <w:rsid w:val="00620C95"/>
    <w:rsid w:val="00622FB2"/>
    <w:rsid w:val="006241E5"/>
    <w:rsid w:val="00630218"/>
    <w:rsid w:val="006302D0"/>
    <w:rsid w:val="00630329"/>
    <w:rsid w:val="00630869"/>
    <w:rsid w:val="006308D5"/>
    <w:rsid w:val="006312E7"/>
    <w:rsid w:val="00634F21"/>
    <w:rsid w:val="00640973"/>
    <w:rsid w:val="00641B1D"/>
    <w:rsid w:val="00641FAC"/>
    <w:rsid w:val="00642323"/>
    <w:rsid w:val="00644D15"/>
    <w:rsid w:val="0064575B"/>
    <w:rsid w:val="00645BD9"/>
    <w:rsid w:val="0064729E"/>
    <w:rsid w:val="00652FFF"/>
    <w:rsid w:val="00654241"/>
    <w:rsid w:val="00656FD2"/>
    <w:rsid w:val="00672D1A"/>
    <w:rsid w:val="0067507C"/>
    <w:rsid w:val="00677A7F"/>
    <w:rsid w:val="006811B1"/>
    <w:rsid w:val="006837C9"/>
    <w:rsid w:val="0068466D"/>
    <w:rsid w:val="00685C72"/>
    <w:rsid w:val="00685D6A"/>
    <w:rsid w:val="00686EF5"/>
    <w:rsid w:val="00691A58"/>
    <w:rsid w:val="00694709"/>
    <w:rsid w:val="006962B4"/>
    <w:rsid w:val="00697740"/>
    <w:rsid w:val="00697D3C"/>
    <w:rsid w:val="006A365A"/>
    <w:rsid w:val="006A3DC1"/>
    <w:rsid w:val="006A5356"/>
    <w:rsid w:val="006A6F14"/>
    <w:rsid w:val="006B0829"/>
    <w:rsid w:val="006B2E29"/>
    <w:rsid w:val="006B4D43"/>
    <w:rsid w:val="006C0439"/>
    <w:rsid w:val="006C07AA"/>
    <w:rsid w:val="006C27BB"/>
    <w:rsid w:val="006C51FD"/>
    <w:rsid w:val="006C7114"/>
    <w:rsid w:val="006D61B5"/>
    <w:rsid w:val="006E01A5"/>
    <w:rsid w:val="006E2073"/>
    <w:rsid w:val="006E2E7E"/>
    <w:rsid w:val="006E3690"/>
    <w:rsid w:val="006E7099"/>
    <w:rsid w:val="006E77AE"/>
    <w:rsid w:val="006F108C"/>
    <w:rsid w:val="006F27FA"/>
    <w:rsid w:val="006F2A11"/>
    <w:rsid w:val="006F3C25"/>
    <w:rsid w:val="006F447C"/>
    <w:rsid w:val="006F44C0"/>
    <w:rsid w:val="006F4F03"/>
    <w:rsid w:val="006F70ED"/>
    <w:rsid w:val="00702C23"/>
    <w:rsid w:val="0071329D"/>
    <w:rsid w:val="00714ABB"/>
    <w:rsid w:val="00714BCE"/>
    <w:rsid w:val="00714E81"/>
    <w:rsid w:val="00717672"/>
    <w:rsid w:val="00720DD1"/>
    <w:rsid w:val="007226D8"/>
    <w:rsid w:val="007261C5"/>
    <w:rsid w:val="00726F2A"/>
    <w:rsid w:val="007272D7"/>
    <w:rsid w:val="00727E1A"/>
    <w:rsid w:val="007311EC"/>
    <w:rsid w:val="00731FFF"/>
    <w:rsid w:val="007334E1"/>
    <w:rsid w:val="00735DF2"/>
    <w:rsid w:val="007373CC"/>
    <w:rsid w:val="0074625A"/>
    <w:rsid w:val="007471A2"/>
    <w:rsid w:val="00750828"/>
    <w:rsid w:val="007531E3"/>
    <w:rsid w:val="007540B4"/>
    <w:rsid w:val="007559C0"/>
    <w:rsid w:val="007575CC"/>
    <w:rsid w:val="00761EE1"/>
    <w:rsid w:val="00762232"/>
    <w:rsid w:val="00762AB3"/>
    <w:rsid w:val="007639C0"/>
    <w:rsid w:val="007667D1"/>
    <w:rsid w:val="007677B0"/>
    <w:rsid w:val="00775842"/>
    <w:rsid w:val="00775ADD"/>
    <w:rsid w:val="00776E87"/>
    <w:rsid w:val="0077722C"/>
    <w:rsid w:val="00780A73"/>
    <w:rsid w:val="00781E2E"/>
    <w:rsid w:val="00782EA0"/>
    <w:rsid w:val="007842E4"/>
    <w:rsid w:val="00785333"/>
    <w:rsid w:val="007867C1"/>
    <w:rsid w:val="007868B7"/>
    <w:rsid w:val="00787425"/>
    <w:rsid w:val="00793EFA"/>
    <w:rsid w:val="00796C54"/>
    <w:rsid w:val="007A2437"/>
    <w:rsid w:val="007A3C7D"/>
    <w:rsid w:val="007B03C8"/>
    <w:rsid w:val="007B6169"/>
    <w:rsid w:val="007C0DC1"/>
    <w:rsid w:val="007C2FFD"/>
    <w:rsid w:val="007C57E1"/>
    <w:rsid w:val="007C5A04"/>
    <w:rsid w:val="007D1A80"/>
    <w:rsid w:val="007D3D29"/>
    <w:rsid w:val="007D61F4"/>
    <w:rsid w:val="007D70B9"/>
    <w:rsid w:val="007D7D7A"/>
    <w:rsid w:val="007E0FC1"/>
    <w:rsid w:val="007E5B31"/>
    <w:rsid w:val="007E5F5A"/>
    <w:rsid w:val="007E6B2C"/>
    <w:rsid w:val="007F032D"/>
    <w:rsid w:val="007F5414"/>
    <w:rsid w:val="007F5EAB"/>
    <w:rsid w:val="007F7216"/>
    <w:rsid w:val="007F7808"/>
    <w:rsid w:val="00800630"/>
    <w:rsid w:val="00800C97"/>
    <w:rsid w:val="00801BAF"/>
    <w:rsid w:val="0080793D"/>
    <w:rsid w:val="00810635"/>
    <w:rsid w:val="008123A6"/>
    <w:rsid w:val="0081271C"/>
    <w:rsid w:val="00814644"/>
    <w:rsid w:val="00815279"/>
    <w:rsid w:val="00816188"/>
    <w:rsid w:val="008204BB"/>
    <w:rsid w:val="00832B84"/>
    <w:rsid w:val="00832D20"/>
    <w:rsid w:val="00832D94"/>
    <w:rsid w:val="008410A7"/>
    <w:rsid w:val="00844936"/>
    <w:rsid w:val="00844A2F"/>
    <w:rsid w:val="00844C84"/>
    <w:rsid w:val="00845A66"/>
    <w:rsid w:val="00847C5E"/>
    <w:rsid w:val="00850768"/>
    <w:rsid w:val="00851505"/>
    <w:rsid w:val="00851530"/>
    <w:rsid w:val="0085526C"/>
    <w:rsid w:val="00857D97"/>
    <w:rsid w:val="008610A0"/>
    <w:rsid w:val="008625FD"/>
    <w:rsid w:val="00865258"/>
    <w:rsid w:val="0086688D"/>
    <w:rsid w:val="00871601"/>
    <w:rsid w:val="008716E5"/>
    <w:rsid w:val="0087495A"/>
    <w:rsid w:val="00875C84"/>
    <w:rsid w:val="0087691A"/>
    <w:rsid w:val="008809B5"/>
    <w:rsid w:val="008813CF"/>
    <w:rsid w:val="00881B1D"/>
    <w:rsid w:val="008829DC"/>
    <w:rsid w:val="008849E7"/>
    <w:rsid w:val="00886C57"/>
    <w:rsid w:val="008878C4"/>
    <w:rsid w:val="008915F2"/>
    <w:rsid w:val="00892744"/>
    <w:rsid w:val="00895631"/>
    <w:rsid w:val="00897541"/>
    <w:rsid w:val="008A4D9B"/>
    <w:rsid w:val="008A62C0"/>
    <w:rsid w:val="008A7894"/>
    <w:rsid w:val="008A7E15"/>
    <w:rsid w:val="008B65FB"/>
    <w:rsid w:val="008C42DC"/>
    <w:rsid w:val="008C7807"/>
    <w:rsid w:val="008D14A3"/>
    <w:rsid w:val="008D241E"/>
    <w:rsid w:val="008D3B5B"/>
    <w:rsid w:val="008D4BE0"/>
    <w:rsid w:val="008D7882"/>
    <w:rsid w:val="008D7FA9"/>
    <w:rsid w:val="008E052E"/>
    <w:rsid w:val="008E5DFD"/>
    <w:rsid w:val="008F070F"/>
    <w:rsid w:val="008F2546"/>
    <w:rsid w:val="008F2A68"/>
    <w:rsid w:val="008F2F94"/>
    <w:rsid w:val="008F7178"/>
    <w:rsid w:val="009030D0"/>
    <w:rsid w:val="00905816"/>
    <w:rsid w:val="00906786"/>
    <w:rsid w:val="00906F9A"/>
    <w:rsid w:val="009102ED"/>
    <w:rsid w:val="00911039"/>
    <w:rsid w:val="009124FD"/>
    <w:rsid w:val="00912D50"/>
    <w:rsid w:val="00915C85"/>
    <w:rsid w:val="00916D7F"/>
    <w:rsid w:val="00921EA0"/>
    <w:rsid w:val="00924CC0"/>
    <w:rsid w:val="009304EA"/>
    <w:rsid w:val="00930A90"/>
    <w:rsid w:val="009320E8"/>
    <w:rsid w:val="0093331C"/>
    <w:rsid w:val="00933C3E"/>
    <w:rsid w:val="00935CC0"/>
    <w:rsid w:val="00936A01"/>
    <w:rsid w:val="0093706E"/>
    <w:rsid w:val="00945ED5"/>
    <w:rsid w:val="009505B5"/>
    <w:rsid w:val="00951EF3"/>
    <w:rsid w:val="00953409"/>
    <w:rsid w:val="0095438C"/>
    <w:rsid w:val="0095573E"/>
    <w:rsid w:val="009569B4"/>
    <w:rsid w:val="00956F46"/>
    <w:rsid w:val="00957374"/>
    <w:rsid w:val="009607AA"/>
    <w:rsid w:val="00962263"/>
    <w:rsid w:val="009632FD"/>
    <w:rsid w:val="00963941"/>
    <w:rsid w:val="00963E7F"/>
    <w:rsid w:val="00966FFF"/>
    <w:rsid w:val="0097373A"/>
    <w:rsid w:val="00975F64"/>
    <w:rsid w:val="00975F9F"/>
    <w:rsid w:val="00982C43"/>
    <w:rsid w:val="0098703B"/>
    <w:rsid w:val="00990060"/>
    <w:rsid w:val="0099037B"/>
    <w:rsid w:val="00990624"/>
    <w:rsid w:val="009954D7"/>
    <w:rsid w:val="00995D6E"/>
    <w:rsid w:val="00997406"/>
    <w:rsid w:val="009A3B87"/>
    <w:rsid w:val="009A751D"/>
    <w:rsid w:val="009A7B08"/>
    <w:rsid w:val="009B36CF"/>
    <w:rsid w:val="009B54A1"/>
    <w:rsid w:val="009C19D9"/>
    <w:rsid w:val="009C22D4"/>
    <w:rsid w:val="009C2340"/>
    <w:rsid w:val="009C24DA"/>
    <w:rsid w:val="009C3864"/>
    <w:rsid w:val="009C53A7"/>
    <w:rsid w:val="009C6AE9"/>
    <w:rsid w:val="009D0721"/>
    <w:rsid w:val="009D5770"/>
    <w:rsid w:val="009D6D13"/>
    <w:rsid w:val="009E1049"/>
    <w:rsid w:val="009E2E63"/>
    <w:rsid w:val="009E3E45"/>
    <w:rsid w:val="009E716C"/>
    <w:rsid w:val="009E7B65"/>
    <w:rsid w:val="009E7C55"/>
    <w:rsid w:val="009F1A67"/>
    <w:rsid w:val="009F462E"/>
    <w:rsid w:val="009F479A"/>
    <w:rsid w:val="009F4FA8"/>
    <w:rsid w:val="009F4FAC"/>
    <w:rsid w:val="009F63D3"/>
    <w:rsid w:val="00A028DC"/>
    <w:rsid w:val="00A062BE"/>
    <w:rsid w:val="00A06BA0"/>
    <w:rsid w:val="00A06C79"/>
    <w:rsid w:val="00A070BA"/>
    <w:rsid w:val="00A10BB6"/>
    <w:rsid w:val="00A1118A"/>
    <w:rsid w:val="00A12E1A"/>
    <w:rsid w:val="00A16A70"/>
    <w:rsid w:val="00A206EB"/>
    <w:rsid w:val="00A21FF8"/>
    <w:rsid w:val="00A23B2F"/>
    <w:rsid w:val="00A24E7F"/>
    <w:rsid w:val="00A26A82"/>
    <w:rsid w:val="00A26E7F"/>
    <w:rsid w:val="00A3123F"/>
    <w:rsid w:val="00A31617"/>
    <w:rsid w:val="00A31DED"/>
    <w:rsid w:val="00A344AF"/>
    <w:rsid w:val="00A356DE"/>
    <w:rsid w:val="00A3693E"/>
    <w:rsid w:val="00A376F2"/>
    <w:rsid w:val="00A37E62"/>
    <w:rsid w:val="00A420B1"/>
    <w:rsid w:val="00A42821"/>
    <w:rsid w:val="00A442B4"/>
    <w:rsid w:val="00A44FE7"/>
    <w:rsid w:val="00A4610F"/>
    <w:rsid w:val="00A47F0E"/>
    <w:rsid w:val="00A514F2"/>
    <w:rsid w:val="00A52669"/>
    <w:rsid w:val="00A53AA0"/>
    <w:rsid w:val="00A54388"/>
    <w:rsid w:val="00A54429"/>
    <w:rsid w:val="00A54DB5"/>
    <w:rsid w:val="00A5546B"/>
    <w:rsid w:val="00A56923"/>
    <w:rsid w:val="00A62AAC"/>
    <w:rsid w:val="00A65041"/>
    <w:rsid w:val="00A65AB1"/>
    <w:rsid w:val="00A73EE1"/>
    <w:rsid w:val="00A75474"/>
    <w:rsid w:val="00A8222B"/>
    <w:rsid w:val="00A91D14"/>
    <w:rsid w:val="00A94F9C"/>
    <w:rsid w:val="00A96683"/>
    <w:rsid w:val="00AA44FF"/>
    <w:rsid w:val="00AA4D7B"/>
    <w:rsid w:val="00AA592C"/>
    <w:rsid w:val="00AB0D45"/>
    <w:rsid w:val="00AB1190"/>
    <w:rsid w:val="00AB23DE"/>
    <w:rsid w:val="00AB4AA1"/>
    <w:rsid w:val="00AB6AA7"/>
    <w:rsid w:val="00AB6D2D"/>
    <w:rsid w:val="00AC3FA0"/>
    <w:rsid w:val="00AC5542"/>
    <w:rsid w:val="00AC5E80"/>
    <w:rsid w:val="00AD4A1C"/>
    <w:rsid w:val="00AD6848"/>
    <w:rsid w:val="00AE4954"/>
    <w:rsid w:val="00AE6A85"/>
    <w:rsid w:val="00AE6D23"/>
    <w:rsid w:val="00AE7A13"/>
    <w:rsid w:val="00AF1BEC"/>
    <w:rsid w:val="00AF2643"/>
    <w:rsid w:val="00AF32DC"/>
    <w:rsid w:val="00AF4C7C"/>
    <w:rsid w:val="00B00B77"/>
    <w:rsid w:val="00B00E05"/>
    <w:rsid w:val="00B04392"/>
    <w:rsid w:val="00B06CC2"/>
    <w:rsid w:val="00B11152"/>
    <w:rsid w:val="00B11BCD"/>
    <w:rsid w:val="00B125FD"/>
    <w:rsid w:val="00B145EA"/>
    <w:rsid w:val="00B14EC6"/>
    <w:rsid w:val="00B151A2"/>
    <w:rsid w:val="00B17B10"/>
    <w:rsid w:val="00B22632"/>
    <w:rsid w:val="00B26600"/>
    <w:rsid w:val="00B27D79"/>
    <w:rsid w:val="00B35E9D"/>
    <w:rsid w:val="00B37BEF"/>
    <w:rsid w:val="00B425E1"/>
    <w:rsid w:val="00B47365"/>
    <w:rsid w:val="00B52462"/>
    <w:rsid w:val="00B526C5"/>
    <w:rsid w:val="00B53049"/>
    <w:rsid w:val="00B53306"/>
    <w:rsid w:val="00B544F9"/>
    <w:rsid w:val="00B54D39"/>
    <w:rsid w:val="00B54DD9"/>
    <w:rsid w:val="00B55B2B"/>
    <w:rsid w:val="00B572BB"/>
    <w:rsid w:val="00B62392"/>
    <w:rsid w:val="00B6309A"/>
    <w:rsid w:val="00B6331F"/>
    <w:rsid w:val="00B65A10"/>
    <w:rsid w:val="00B7088D"/>
    <w:rsid w:val="00B72C36"/>
    <w:rsid w:val="00B73777"/>
    <w:rsid w:val="00B7515F"/>
    <w:rsid w:val="00B752E8"/>
    <w:rsid w:val="00B76660"/>
    <w:rsid w:val="00B778F3"/>
    <w:rsid w:val="00B85A2F"/>
    <w:rsid w:val="00B86655"/>
    <w:rsid w:val="00B903D7"/>
    <w:rsid w:val="00B9080D"/>
    <w:rsid w:val="00B92696"/>
    <w:rsid w:val="00B953BC"/>
    <w:rsid w:val="00B9599C"/>
    <w:rsid w:val="00BA0CAC"/>
    <w:rsid w:val="00BA57CA"/>
    <w:rsid w:val="00BB0170"/>
    <w:rsid w:val="00BB291C"/>
    <w:rsid w:val="00BB43DF"/>
    <w:rsid w:val="00BB481B"/>
    <w:rsid w:val="00BB5A5C"/>
    <w:rsid w:val="00BB7C1C"/>
    <w:rsid w:val="00BC2141"/>
    <w:rsid w:val="00BC3B6A"/>
    <w:rsid w:val="00BC6C03"/>
    <w:rsid w:val="00BD0C07"/>
    <w:rsid w:val="00BD0F15"/>
    <w:rsid w:val="00BD25D3"/>
    <w:rsid w:val="00BD7301"/>
    <w:rsid w:val="00BE4C35"/>
    <w:rsid w:val="00BF1F1D"/>
    <w:rsid w:val="00BF2D10"/>
    <w:rsid w:val="00BF36F9"/>
    <w:rsid w:val="00BF3FCB"/>
    <w:rsid w:val="00BF571A"/>
    <w:rsid w:val="00BF618F"/>
    <w:rsid w:val="00BF7D1D"/>
    <w:rsid w:val="00C0373E"/>
    <w:rsid w:val="00C04664"/>
    <w:rsid w:val="00C06840"/>
    <w:rsid w:val="00C068C5"/>
    <w:rsid w:val="00C10B31"/>
    <w:rsid w:val="00C1239A"/>
    <w:rsid w:val="00C12829"/>
    <w:rsid w:val="00C15C7F"/>
    <w:rsid w:val="00C15D5C"/>
    <w:rsid w:val="00C16F6B"/>
    <w:rsid w:val="00C176B5"/>
    <w:rsid w:val="00C2360C"/>
    <w:rsid w:val="00C23BED"/>
    <w:rsid w:val="00C26C50"/>
    <w:rsid w:val="00C27CAD"/>
    <w:rsid w:val="00C3156F"/>
    <w:rsid w:val="00C33346"/>
    <w:rsid w:val="00C35E82"/>
    <w:rsid w:val="00C37166"/>
    <w:rsid w:val="00C378ED"/>
    <w:rsid w:val="00C45649"/>
    <w:rsid w:val="00C45F9C"/>
    <w:rsid w:val="00C4620B"/>
    <w:rsid w:val="00C468FD"/>
    <w:rsid w:val="00C53A45"/>
    <w:rsid w:val="00C55B9F"/>
    <w:rsid w:val="00C573B8"/>
    <w:rsid w:val="00C57840"/>
    <w:rsid w:val="00C57A30"/>
    <w:rsid w:val="00C6479D"/>
    <w:rsid w:val="00C72ECC"/>
    <w:rsid w:val="00C77551"/>
    <w:rsid w:val="00C85132"/>
    <w:rsid w:val="00C8559C"/>
    <w:rsid w:val="00C87CFF"/>
    <w:rsid w:val="00C91272"/>
    <w:rsid w:val="00C9233A"/>
    <w:rsid w:val="00CA1FD6"/>
    <w:rsid w:val="00CB0E02"/>
    <w:rsid w:val="00CB20B7"/>
    <w:rsid w:val="00CC29F3"/>
    <w:rsid w:val="00CC2A56"/>
    <w:rsid w:val="00CC32A2"/>
    <w:rsid w:val="00CC5FB0"/>
    <w:rsid w:val="00CD5838"/>
    <w:rsid w:val="00CD7045"/>
    <w:rsid w:val="00CE18EB"/>
    <w:rsid w:val="00CE7609"/>
    <w:rsid w:val="00CE7E5E"/>
    <w:rsid w:val="00CF4BCF"/>
    <w:rsid w:val="00CF5155"/>
    <w:rsid w:val="00CF6ED0"/>
    <w:rsid w:val="00D0099E"/>
    <w:rsid w:val="00D03ECB"/>
    <w:rsid w:val="00D063C8"/>
    <w:rsid w:val="00D1138E"/>
    <w:rsid w:val="00D15C81"/>
    <w:rsid w:val="00D2146D"/>
    <w:rsid w:val="00D24B6A"/>
    <w:rsid w:val="00D306DA"/>
    <w:rsid w:val="00D3278E"/>
    <w:rsid w:val="00D40BD4"/>
    <w:rsid w:val="00D412E7"/>
    <w:rsid w:val="00D47FAE"/>
    <w:rsid w:val="00D54A3A"/>
    <w:rsid w:val="00D54F9A"/>
    <w:rsid w:val="00D552FF"/>
    <w:rsid w:val="00D6235C"/>
    <w:rsid w:val="00D64DBA"/>
    <w:rsid w:val="00D679E3"/>
    <w:rsid w:val="00D724ED"/>
    <w:rsid w:val="00D75503"/>
    <w:rsid w:val="00D75AB4"/>
    <w:rsid w:val="00D77509"/>
    <w:rsid w:val="00D81C03"/>
    <w:rsid w:val="00D83A5E"/>
    <w:rsid w:val="00D923AA"/>
    <w:rsid w:val="00D926D0"/>
    <w:rsid w:val="00D9712F"/>
    <w:rsid w:val="00DA4048"/>
    <w:rsid w:val="00DA426A"/>
    <w:rsid w:val="00DA56A8"/>
    <w:rsid w:val="00DA685B"/>
    <w:rsid w:val="00DA78F2"/>
    <w:rsid w:val="00DA7A69"/>
    <w:rsid w:val="00DB0EE7"/>
    <w:rsid w:val="00DB2D1F"/>
    <w:rsid w:val="00DC1C2B"/>
    <w:rsid w:val="00DC2431"/>
    <w:rsid w:val="00DC3089"/>
    <w:rsid w:val="00DC399A"/>
    <w:rsid w:val="00DC4605"/>
    <w:rsid w:val="00DC6610"/>
    <w:rsid w:val="00DC6B3E"/>
    <w:rsid w:val="00DC77EE"/>
    <w:rsid w:val="00DD09A5"/>
    <w:rsid w:val="00DD0A43"/>
    <w:rsid w:val="00DD1591"/>
    <w:rsid w:val="00DD38CC"/>
    <w:rsid w:val="00DD727D"/>
    <w:rsid w:val="00DE0190"/>
    <w:rsid w:val="00DE036F"/>
    <w:rsid w:val="00DE0427"/>
    <w:rsid w:val="00DE33C3"/>
    <w:rsid w:val="00DE4A31"/>
    <w:rsid w:val="00DF22C2"/>
    <w:rsid w:val="00DF463C"/>
    <w:rsid w:val="00DF5022"/>
    <w:rsid w:val="00DF66CF"/>
    <w:rsid w:val="00DF7A61"/>
    <w:rsid w:val="00E00FAB"/>
    <w:rsid w:val="00E02D31"/>
    <w:rsid w:val="00E02EF6"/>
    <w:rsid w:val="00E0368E"/>
    <w:rsid w:val="00E043D6"/>
    <w:rsid w:val="00E20205"/>
    <w:rsid w:val="00E207CA"/>
    <w:rsid w:val="00E2214B"/>
    <w:rsid w:val="00E26959"/>
    <w:rsid w:val="00E33746"/>
    <w:rsid w:val="00E354F1"/>
    <w:rsid w:val="00E36D67"/>
    <w:rsid w:val="00E37564"/>
    <w:rsid w:val="00E40772"/>
    <w:rsid w:val="00E418B8"/>
    <w:rsid w:val="00E43720"/>
    <w:rsid w:val="00E44110"/>
    <w:rsid w:val="00E522D2"/>
    <w:rsid w:val="00E56433"/>
    <w:rsid w:val="00E57CEE"/>
    <w:rsid w:val="00E613FA"/>
    <w:rsid w:val="00E63DB8"/>
    <w:rsid w:val="00E63F79"/>
    <w:rsid w:val="00E649DC"/>
    <w:rsid w:val="00E673A6"/>
    <w:rsid w:val="00E679CB"/>
    <w:rsid w:val="00E70536"/>
    <w:rsid w:val="00E706A4"/>
    <w:rsid w:val="00E716E1"/>
    <w:rsid w:val="00E7222A"/>
    <w:rsid w:val="00E73370"/>
    <w:rsid w:val="00E770CA"/>
    <w:rsid w:val="00E77C2A"/>
    <w:rsid w:val="00E80859"/>
    <w:rsid w:val="00E81819"/>
    <w:rsid w:val="00E81BDD"/>
    <w:rsid w:val="00E8696F"/>
    <w:rsid w:val="00E908FA"/>
    <w:rsid w:val="00E90CB4"/>
    <w:rsid w:val="00E921BA"/>
    <w:rsid w:val="00E93F77"/>
    <w:rsid w:val="00E94441"/>
    <w:rsid w:val="00E94B59"/>
    <w:rsid w:val="00E94F1B"/>
    <w:rsid w:val="00E97B51"/>
    <w:rsid w:val="00EA0A23"/>
    <w:rsid w:val="00EA3A25"/>
    <w:rsid w:val="00EA5951"/>
    <w:rsid w:val="00EB3E92"/>
    <w:rsid w:val="00EB4FA7"/>
    <w:rsid w:val="00EC0059"/>
    <w:rsid w:val="00EC212C"/>
    <w:rsid w:val="00EC6651"/>
    <w:rsid w:val="00EC7806"/>
    <w:rsid w:val="00ED1525"/>
    <w:rsid w:val="00ED29F1"/>
    <w:rsid w:val="00ED316F"/>
    <w:rsid w:val="00ED33F0"/>
    <w:rsid w:val="00ED44A9"/>
    <w:rsid w:val="00EE115A"/>
    <w:rsid w:val="00EE3013"/>
    <w:rsid w:val="00EE595B"/>
    <w:rsid w:val="00EE799F"/>
    <w:rsid w:val="00EF06D9"/>
    <w:rsid w:val="00EF27E9"/>
    <w:rsid w:val="00EF6DF0"/>
    <w:rsid w:val="00F05FEF"/>
    <w:rsid w:val="00F068DD"/>
    <w:rsid w:val="00F06902"/>
    <w:rsid w:val="00F12CE6"/>
    <w:rsid w:val="00F13374"/>
    <w:rsid w:val="00F15111"/>
    <w:rsid w:val="00F15A3D"/>
    <w:rsid w:val="00F16B8A"/>
    <w:rsid w:val="00F17DDF"/>
    <w:rsid w:val="00F20D18"/>
    <w:rsid w:val="00F23CF0"/>
    <w:rsid w:val="00F248B6"/>
    <w:rsid w:val="00F251C2"/>
    <w:rsid w:val="00F25214"/>
    <w:rsid w:val="00F30B69"/>
    <w:rsid w:val="00F314D3"/>
    <w:rsid w:val="00F329A3"/>
    <w:rsid w:val="00F32A44"/>
    <w:rsid w:val="00F36CC0"/>
    <w:rsid w:val="00F37ECB"/>
    <w:rsid w:val="00F42EF5"/>
    <w:rsid w:val="00F43668"/>
    <w:rsid w:val="00F473B7"/>
    <w:rsid w:val="00F52A99"/>
    <w:rsid w:val="00F54102"/>
    <w:rsid w:val="00F54F90"/>
    <w:rsid w:val="00F552F9"/>
    <w:rsid w:val="00F62572"/>
    <w:rsid w:val="00F634DB"/>
    <w:rsid w:val="00F63AE4"/>
    <w:rsid w:val="00F656B4"/>
    <w:rsid w:val="00F678FA"/>
    <w:rsid w:val="00F70B59"/>
    <w:rsid w:val="00F76EA8"/>
    <w:rsid w:val="00F7718D"/>
    <w:rsid w:val="00F80699"/>
    <w:rsid w:val="00F808F3"/>
    <w:rsid w:val="00F80CA8"/>
    <w:rsid w:val="00F8474E"/>
    <w:rsid w:val="00F86E22"/>
    <w:rsid w:val="00F903F8"/>
    <w:rsid w:val="00F9099E"/>
    <w:rsid w:val="00F90E2F"/>
    <w:rsid w:val="00F9317D"/>
    <w:rsid w:val="00F951E8"/>
    <w:rsid w:val="00F96D1C"/>
    <w:rsid w:val="00FA112C"/>
    <w:rsid w:val="00FA5C45"/>
    <w:rsid w:val="00FB04D0"/>
    <w:rsid w:val="00FB49F7"/>
    <w:rsid w:val="00FB5374"/>
    <w:rsid w:val="00FB57F5"/>
    <w:rsid w:val="00FB6FBE"/>
    <w:rsid w:val="00FC05F0"/>
    <w:rsid w:val="00FC1838"/>
    <w:rsid w:val="00FC4385"/>
    <w:rsid w:val="00FC7614"/>
    <w:rsid w:val="00FC7739"/>
    <w:rsid w:val="00FD11D8"/>
    <w:rsid w:val="00FD131E"/>
    <w:rsid w:val="00FD136D"/>
    <w:rsid w:val="00FD46A3"/>
    <w:rsid w:val="00FD576B"/>
    <w:rsid w:val="00FD5C10"/>
    <w:rsid w:val="00FD6267"/>
    <w:rsid w:val="00FD7A73"/>
    <w:rsid w:val="00FE0485"/>
    <w:rsid w:val="00FE2609"/>
    <w:rsid w:val="00FE2F79"/>
    <w:rsid w:val="00FE3A9C"/>
    <w:rsid w:val="00FE4EE9"/>
    <w:rsid w:val="00FE54DF"/>
    <w:rsid w:val="00FF01C6"/>
    <w:rsid w:val="00FF06E0"/>
    <w:rsid w:val="00FF3452"/>
    <w:rsid w:val="00FF3DE7"/>
    <w:rsid w:val="00FF65C5"/>
    <w:rsid w:val="00FF7671"/>
    <w:rsid w:val="00FF7AEC"/>
    <w:rsid w:val="00FF7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92EBB"/>
  <w15:chartTrackingRefBased/>
  <w15:docId w15:val="{05ED7D68-9621-4ED9-A51F-EFAADF7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E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90267"/>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390267"/>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390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390267"/>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390267"/>
    <w:pPr>
      <w:numPr>
        <w:ilvl w:val="4"/>
      </w:numPr>
      <w:outlineLvl w:val="4"/>
    </w:pPr>
    <w:rPr>
      <w:sz w:val="22"/>
    </w:rPr>
  </w:style>
  <w:style w:type="paragraph" w:styleId="Heading6">
    <w:name w:val="heading 6"/>
    <w:basedOn w:val="Normal"/>
    <w:next w:val="Normal"/>
    <w:link w:val="Heading6Char"/>
    <w:semiHidden/>
    <w:unhideWhenUsed/>
    <w:qFormat/>
    <w:rsid w:val="00390267"/>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390267"/>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390267"/>
    <w:pPr>
      <w:numPr>
        <w:ilvl w:val="7"/>
        <w:numId w:val="1"/>
      </w:numPr>
      <w:outlineLvl w:val="7"/>
    </w:pPr>
  </w:style>
  <w:style w:type="paragraph" w:styleId="Heading9">
    <w:name w:val="heading 9"/>
    <w:basedOn w:val="Heading8"/>
    <w:next w:val="Normal"/>
    <w:link w:val="Heading9Char"/>
    <w:uiPriority w:val="99"/>
    <w:semiHidden/>
    <w:unhideWhenUsed/>
    <w:qFormat/>
    <w:rsid w:val="0039026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67"/>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390267"/>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390267"/>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390267"/>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390267"/>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390267"/>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390267"/>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390267"/>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390267"/>
    <w:rPr>
      <w:rFonts w:ascii="Arial" w:eastAsia="Malgun Gothic" w:hAnsi="Arial" w:cs="Times New Roman"/>
      <w:sz w:val="36"/>
      <w:szCs w:val="20"/>
      <w:lang w:val="en-GB"/>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90267"/>
    <w:pPr>
      <w:ind w:left="720"/>
      <w:contextualSpacing/>
    </w:pPr>
  </w:style>
  <w:style w:type="paragraph" w:customStyle="1" w:styleId="TF">
    <w:name w:val="TF"/>
    <w:basedOn w:val="Normal"/>
    <w:link w:val="TFChar"/>
    <w:rsid w:val="00390267"/>
    <w:pPr>
      <w:keepLines/>
      <w:spacing w:after="240"/>
      <w:jc w:val="center"/>
    </w:pPr>
    <w:rPr>
      <w:rFonts w:ascii="Arial" w:eastAsia="SimSun" w:hAnsi="Arial"/>
      <w:b/>
    </w:rPr>
  </w:style>
  <w:style w:type="character" w:customStyle="1" w:styleId="TFChar">
    <w:name w:val="TF Char"/>
    <w:link w:val="TF"/>
    <w:qFormat/>
    <w:rsid w:val="00390267"/>
    <w:rPr>
      <w:rFonts w:ascii="Arial" w:eastAsia="SimSun" w:hAnsi="Arial" w:cs="Times New Roman"/>
      <w:b/>
      <w:sz w:val="20"/>
      <w:szCs w:val="20"/>
      <w:lang w:val="en-GB"/>
    </w:rPr>
  </w:style>
  <w:style w:type="table" w:styleId="TableGrid">
    <w:name w:val="Table Grid"/>
    <w:basedOn w:val="TableNormal"/>
    <w:uiPriority w:val="39"/>
    <w:rsid w:val="00390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267"/>
    <w:pPr>
      <w:spacing w:before="100" w:beforeAutospacing="1" w:after="100" w:afterAutospacing="1"/>
    </w:pPr>
    <w:rPr>
      <w:rFonts w:eastAsia="Times New Roman"/>
      <w:sz w:val="24"/>
      <w:szCs w:val="24"/>
      <w:lang w:val="en-US"/>
    </w:rPr>
  </w:style>
  <w:style w:type="paragraph" w:customStyle="1" w:styleId="TAL">
    <w:name w:val="TAL"/>
    <w:basedOn w:val="Normal"/>
    <w:link w:val="TALCar"/>
    <w:qFormat/>
    <w:rsid w:val="0039026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locked/>
    <w:rsid w:val="00390267"/>
    <w:rPr>
      <w:rFonts w:ascii="Arial" w:eastAsia="Times New Roman" w:hAnsi="Arial" w:cs="Times New Roman"/>
      <w:sz w:val="18"/>
      <w:szCs w:val="20"/>
      <w:lang w:val="en-GB"/>
    </w:rPr>
  </w:style>
  <w:style w:type="paragraph" w:customStyle="1" w:styleId="TH">
    <w:name w:val="TH"/>
    <w:basedOn w:val="Normal"/>
    <w:link w:val="THChar"/>
    <w:rsid w:val="003902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locked/>
    <w:rsid w:val="00390267"/>
    <w:rPr>
      <w:rFonts w:ascii="Arial" w:eastAsia="Times New Roman" w:hAnsi="Arial" w:cs="Times New Roman"/>
      <w:b/>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390267"/>
    <w:rPr>
      <w:rFonts w:ascii="Times New Roman" w:eastAsia="Malgun Gothic" w:hAnsi="Times New Roman" w:cs="Times New Roman"/>
      <w:sz w:val="20"/>
      <w:szCs w:val="20"/>
      <w:lang w:val="en-GB"/>
    </w:rPr>
  </w:style>
  <w:style w:type="character" w:customStyle="1" w:styleId="TALChar">
    <w:name w:val="TAL Char"/>
    <w:qFormat/>
    <w:rsid w:val="00487E3A"/>
    <w:rPr>
      <w:rFonts w:ascii="Arial" w:hAnsi="Arial"/>
      <w:sz w:val="18"/>
      <w:lang w:val="en-GB" w:eastAsia="en-GB"/>
    </w:rPr>
  </w:style>
  <w:style w:type="paragraph" w:customStyle="1" w:styleId="TAH">
    <w:name w:val="TAH"/>
    <w:basedOn w:val="Normal"/>
    <w:link w:val="TAHChar"/>
    <w:rsid w:val="00487E3A"/>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har">
    <w:name w:val="TAH Char"/>
    <w:link w:val="TAH"/>
    <w:qFormat/>
    <w:rsid w:val="00487E3A"/>
    <w:rPr>
      <w:rFonts w:ascii="Arial" w:eastAsia="Times New Roman" w:hAnsi="Arial" w:cs="Times New Roman"/>
      <w:b/>
      <w:sz w:val="18"/>
      <w:szCs w:val="20"/>
      <w:lang w:val="en-GB" w:eastAsia="en-GB"/>
    </w:rPr>
  </w:style>
  <w:style w:type="paragraph" w:styleId="BalloonText">
    <w:name w:val="Balloon Text"/>
    <w:basedOn w:val="Normal"/>
    <w:link w:val="BalloonTextChar"/>
    <w:uiPriority w:val="99"/>
    <w:semiHidden/>
    <w:unhideWhenUsed/>
    <w:rsid w:val="00030D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DC4"/>
    <w:rPr>
      <w:rFonts w:ascii="Segoe UI" w:eastAsia="Malgun Gothic" w:hAnsi="Segoe UI" w:cs="Segoe UI"/>
      <w:sz w:val="18"/>
      <w:szCs w:val="18"/>
      <w:lang w:val="en-GB"/>
    </w:rPr>
  </w:style>
  <w:style w:type="paragraph" w:customStyle="1" w:styleId="B1">
    <w:name w:val="B1"/>
    <w:basedOn w:val="List"/>
    <w:link w:val="B1Char"/>
    <w:qFormat/>
    <w:rsid w:val="00296442"/>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29644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96442"/>
    <w:pPr>
      <w:ind w:left="360" w:hanging="360"/>
      <w:contextualSpacing/>
    </w:pPr>
  </w:style>
  <w:style w:type="character" w:customStyle="1" w:styleId="s2">
    <w:name w:val="s2"/>
    <w:rsid w:val="00FD7A73"/>
  </w:style>
  <w:style w:type="paragraph" w:styleId="Header">
    <w:name w:val="header"/>
    <w:basedOn w:val="Normal"/>
    <w:link w:val="HeaderChar"/>
    <w:uiPriority w:val="99"/>
    <w:unhideWhenUsed/>
    <w:rsid w:val="006241E5"/>
    <w:pPr>
      <w:tabs>
        <w:tab w:val="center" w:pos="4680"/>
        <w:tab w:val="right" w:pos="9360"/>
      </w:tabs>
      <w:spacing w:after="0"/>
    </w:pPr>
  </w:style>
  <w:style w:type="character" w:customStyle="1" w:styleId="HeaderChar">
    <w:name w:val="Header Char"/>
    <w:basedOn w:val="DefaultParagraphFont"/>
    <w:link w:val="Header"/>
    <w:uiPriority w:val="99"/>
    <w:rsid w:val="006241E5"/>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6241E5"/>
    <w:pPr>
      <w:tabs>
        <w:tab w:val="center" w:pos="4680"/>
        <w:tab w:val="right" w:pos="9360"/>
      </w:tabs>
      <w:spacing w:after="0"/>
    </w:pPr>
  </w:style>
  <w:style w:type="character" w:customStyle="1" w:styleId="FooterChar">
    <w:name w:val="Footer Char"/>
    <w:basedOn w:val="DefaultParagraphFont"/>
    <w:link w:val="Footer"/>
    <w:uiPriority w:val="99"/>
    <w:rsid w:val="006241E5"/>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9404">
      <w:bodyDiv w:val="1"/>
      <w:marLeft w:val="0"/>
      <w:marRight w:val="0"/>
      <w:marTop w:val="0"/>
      <w:marBottom w:val="0"/>
      <w:divBdr>
        <w:top w:val="none" w:sz="0" w:space="0" w:color="auto"/>
        <w:left w:val="none" w:sz="0" w:space="0" w:color="auto"/>
        <w:bottom w:val="none" w:sz="0" w:space="0" w:color="auto"/>
        <w:right w:val="none" w:sz="0" w:space="0" w:color="auto"/>
      </w:divBdr>
      <w:divsChild>
        <w:div w:id="2010480639">
          <w:marLeft w:val="1800"/>
          <w:marRight w:val="0"/>
          <w:marTop w:val="77"/>
          <w:marBottom w:val="0"/>
          <w:divBdr>
            <w:top w:val="none" w:sz="0" w:space="0" w:color="auto"/>
            <w:left w:val="none" w:sz="0" w:space="0" w:color="auto"/>
            <w:bottom w:val="none" w:sz="0" w:space="0" w:color="auto"/>
            <w:right w:val="none" w:sz="0" w:space="0" w:color="auto"/>
          </w:divBdr>
        </w:div>
        <w:div w:id="2049527254">
          <w:marLeft w:val="2520"/>
          <w:marRight w:val="0"/>
          <w:marTop w:val="77"/>
          <w:marBottom w:val="0"/>
          <w:divBdr>
            <w:top w:val="none" w:sz="0" w:space="0" w:color="auto"/>
            <w:left w:val="none" w:sz="0" w:space="0" w:color="auto"/>
            <w:bottom w:val="none" w:sz="0" w:space="0" w:color="auto"/>
            <w:right w:val="none" w:sz="0" w:space="0" w:color="auto"/>
          </w:divBdr>
        </w:div>
        <w:div w:id="768696256">
          <w:marLeft w:val="2520"/>
          <w:marRight w:val="0"/>
          <w:marTop w:val="77"/>
          <w:marBottom w:val="0"/>
          <w:divBdr>
            <w:top w:val="none" w:sz="0" w:space="0" w:color="auto"/>
            <w:left w:val="none" w:sz="0" w:space="0" w:color="auto"/>
            <w:bottom w:val="none" w:sz="0" w:space="0" w:color="auto"/>
            <w:right w:val="none" w:sz="0" w:space="0" w:color="auto"/>
          </w:divBdr>
        </w:div>
        <w:div w:id="33388770">
          <w:marLeft w:val="2520"/>
          <w:marRight w:val="0"/>
          <w:marTop w:val="77"/>
          <w:marBottom w:val="0"/>
          <w:divBdr>
            <w:top w:val="none" w:sz="0" w:space="0" w:color="auto"/>
            <w:left w:val="none" w:sz="0" w:space="0" w:color="auto"/>
            <w:bottom w:val="none" w:sz="0" w:space="0" w:color="auto"/>
            <w:right w:val="none" w:sz="0" w:space="0" w:color="auto"/>
          </w:divBdr>
        </w:div>
        <w:div w:id="759832798">
          <w:marLeft w:val="2520"/>
          <w:marRight w:val="0"/>
          <w:marTop w:val="77"/>
          <w:marBottom w:val="0"/>
          <w:divBdr>
            <w:top w:val="none" w:sz="0" w:space="0" w:color="auto"/>
            <w:left w:val="none" w:sz="0" w:space="0" w:color="auto"/>
            <w:bottom w:val="none" w:sz="0" w:space="0" w:color="auto"/>
            <w:right w:val="none" w:sz="0" w:space="0" w:color="auto"/>
          </w:divBdr>
        </w:div>
      </w:divsChild>
    </w:div>
    <w:div w:id="117841404">
      <w:bodyDiv w:val="1"/>
      <w:marLeft w:val="0"/>
      <w:marRight w:val="0"/>
      <w:marTop w:val="0"/>
      <w:marBottom w:val="0"/>
      <w:divBdr>
        <w:top w:val="none" w:sz="0" w:space="0" w:color="auto"/>
        <w:left w:val="none" w:sz="0" w:space="0" w:color="auto"/>
        <w:bottom w:val="none" w:sz="0" w:space="0" w:color="auto"/>
        <w:right w:val="none" w:sz="0" w:space="0" w:color="auto"/>
      </w:divBdr>
    </w:div>
    <w:div w:id="391587107">
      <w:bodyDiv w:val="1"/>
      <w:marLeft w:val="0"/>
      <w:marRight w:val="0"/>
      <w:marTop w:val="0"/>
      <w:marBottom w:val="0"/>
      <w:divBdr>
        <w:top w:val="none" w:sz="0" w:space="0" w:color="auto"/>
        <w:left w:val="none" w:sz="0" w:space="0" w:color="auto"/>
        <w:bottom w:val="none" w:sz="0" w:space="0" w:color="auto"/>
        <w:right w:val="none" w:sz="0" w:space="0" w:color="auto"/>
      </w:divBdr>
    </w:div>
    <w:div w:id="459887626">
      <w:bodyDiv w:val="1"/>
      <w:marLeft w:val="0"/>
      <w:marRight w:val="0"/>
      <w:marTop w:val="0"/>
      <w:marBottom w:val="0"/>
      <w:divBdr>
        <w:top w:val="none" w:sz="0" w:space="0" w:color="auto"/>
        <w:left w:val="none" w:sz="0" w:space="0" w:color="auto"/>
        <w:bottom w:val="none" w:sz="0" w:space="0" w:color="auto"/>
        <w:right w:val="none" w:sz="0" w:space="0" w:color="auto"/>
      </w:divBdr>
    </w:div>
    <w:div w:id="704139254">
      <w:bodyDiv w:val="1"/>
      <w:marLeft w:val="0"/>
      <w:marRight w:val="0"/>
      <w:marTop w:val="0"/>
      <w:marBottom w:val="0"/>
      <w:divBdr>
        <w:top w:val="none" w:sz="0" w:space="0" w:color="auto"/>
        <w:left w:val="none" w:sz="0" w:space="0" w:color="auto"/>
        <w:bottom w:val="none" w:sz="0" w:space="0" w:color="auto"/>
        <w:right w:val="none" w:sz="0" w:space="0" w:color="auto"/>
      </w:divBdr>
    </w:div>
    <w:div w:id="869143876">
      <w:bodyDiv w:val="1"/>
      <w:marLeft w:val="0"/>
      <w:marRight w:val="0"/>
      <w:marTop w:val="0"/>
      <w:marBottom w:val="0"/>
      <w:divBdr>
        <w:top w:val="none" w:sz="0" w:space="0" w:color="auto"/>
        <w:left w:val="none" w:sz="0" w:space="0" w:color="auto"/>
        <w:bottom w:val="none" w:sz="0" w:space="0" w:color="auto"/>
        <w:right w:val="none" w:sz="0" w:space="0" w:color="auto"/>
      </w:divBdr>
    </w:div>
    <w:div w:id="869490551">
      <w:bodyDiv w:val="1"/>
      <w:marLeft w:val="0"/>
      <w:marRight w:val="0"/>
      <w:marTop w:val="0"/>
      <w:marBottom w:val="0"/>
      <w:divBdr>
        <w:top w:val="none" w:sz="0" w:space="0" w:color="auto"/>
        <w:left w:val="none" w:sz="0" w:space="0" w:color="auto"/>
        <w:bottom w:val="none" w:sz="0" w:space="0" w:color="auto"/>
        <w:right w:val="none" w:sz="0" w:space="0" w:color="auto"/>
      </w:divBdr>
    </w:div>
    <w:div w:id="964000672">
      <w:bodyDiv w:val="1"/>
      <w:marLeft w:val="0"/>
      <w:marRight w:val="0"/>
      <w:marTop w:val="0"/>
      <w:marBottom w:val="0"/>
      <w:divBdr>
        <w:top w:val="none" w:sz="0" w:space="0" w:color="auto"/>
        <w:left w:val="none" w:sz="0" w:space="0" w:color="auto"/>
        <w:bottom w:val="none" w:sz="0" w:space="0" w:color="auto"/>
        <w:right w:val="none" w:sz="0" w:space="0" w:color="auto"/>
      </w:divBdr>
    </w:div>
    <w:div w:id="1138842289">
      <w:bodyDiv w:val="1"/>
      <w:marLeft w:val="0"/>
      <w:marRight w:val="0"/>
      <w:marTop w:val="0"/>
      <w:marBottom w:val="0"/>
      <w:divBdr>
        <w:top w:val="none" w:sz="0" w:space="0" w:color="auto"/>
        <w:left w:val="none" w:sz="0" w:space="0" w:color="auto"/>
        <w:bottom w:val="none" w:sz="0" w:space="0" w:color="auto"/>
        <w:right w:val="none" w:sz="0" w:space="0" w:color="auto"/>
      </w:divBdr>
    </w:div>
    <w:div w:id="1161851662">
      <w:bodyDiv w:val="1"/>
      <w:marLeft w:val="0"/>
      <w:marRight w:val="0"/>
      <w:marTop w:val="0"/>
      <w:marBottom w:val="0"/>
      <w:divBdr>
        <w:top w:val="none" w:sz="0" w:space="0" w:color="auto"/>
        <w:left w:val="none" w:sz="0" w:space="0" w:color="auto"/>
        <w:bottom w:val="none" w:sz="0" w:space="0" w:color="auto"/>
        <w:right w:val="none" w:sz="0" w:space="0" w:color="auto"/>
      </w:divBdr>
    </w:div>
    <w:div w:id="1177188508">
      <w:bodyDiv w:val="1"/>
      <w:marLeft w:val="0"/>
      <w:marRight w:val="0"/>
      <w:marTop w:val="0"/>
      <w:marBottom w:val="0"/>
      <w:divBdr>
        <w:top w:val="none" w:sz="0" w:space="0" w:color="auto"/>
        <w:left w:val="none" w:sz="0" w:space="0" w:color="auto"/>
        <w:bottom w:val="none" w:sz="0" w:space="0" w:color="auto"/>
        <w:right w:val="none" w:sz="0" w:space="0" w:color="auto"/>
      </w:divBdr>
    </w:div>
    <w:div w:id="1293562049">
      <w:bodyDiv w:val="1"/>
      <w:marLeft w:val="0"/>
      <w:marRight w:val="0"/>
      <w:marTop w:val="0"/>
      <w:marBottom w:val="0"/>
      <w:divBdr>
        <w:top w:val="none" w:sz="0" w:space="0" w:color="auto"/>
        <w:left w:val="none" w:sz="0" w:space="0" w:color="auto"/>
        <w:bottom w:val="none" w:sz="0" w:space="0" w:color="auto"/>
        <w:right w:val="none" w:sz="0" w:space="0" w:color="auto"/>
      </w:divBdr>
    </w:div>
    <w:div w:id="1339120014">
      <w:bodyDiv w:val="1"/>
      <w:marLeft w:val="0"/>
      <w:marRight w:val="0"/>
      <w:marTop w:val="0"/>
      <w:marBottom w:val="0"/>
      <w:divBdr>
        <w:top w:val="none" w:sz="0" w:space="0" w:color="auto"/>
        <w:left w:val="none" w:sz="0" w:space="0" w:color="auto"/>
        <w:bottom w:val="none" w:sz="0" w:space="0" w:color="auto"/>
        <w:right w:val="none" w:sz="0" w:space="0" w:color="auto"/>
      </w:divBdr>
    </w:div>
    <w:div w:id="1453204109">
      <w:bodyDiv w:val="1"/>
      <w:marLeft w:val="0"/>
      <w:marRight w:val="0"/>
      <w:marTop w:val="0"/>
      <w:marBottom w:val="0"/>
      <w:divBdr>
        <w:top w:val="none" w:sz="0" w:space="0" w:color="auto"/>
        <w:left w:val="none" w:sz="0" w:space="0" w:color="auto"/>
        <w:bottom w:val="none" w:sz="0" w:space="0" w:color="auto"/>
        <w:right w:val="none" w:sz="0" w:space="0" w:color="auto"/>
      </w:divBdr>
    </w:div>
    <w:div w:id="1544829338">
      <w:bodyDiv w:val="1"/>
      <w:marLeft w:val="0"/>
      <w:marRight w:val="0"/>
      <w:marTop w:val="0"/>
      <w:marBottom w:val="0"/>
      <w:divBdr>
        <w:top w:val="none" w:sz="0" w:space="0" w:color="auto"/>
        <w:left w:val="none" w:sz="0" w:space="0" w:color="auto"/>
        <w:bottom w:val="none" w:sz="0" w:space="0" w:color="auto"/>
        <w:right w:val="none" w:sz="0" w:space="0" w:color="auto"/>
      </w:divBdr>
      <w:divsChild>
        <w:div w:id="1481995359">
          <w:marLeft w:val="1166"/>
          <w:marRight w:val="0"/>
          <w:marTop w:val="82"/>
          <w:marBottom w:val="0"/>
          <w:divBdr>
            <w:top w:val="none" w:sz="0" w:space="0" w:color="auto"/>
            <w:left w:val="none" w:sz="0" w:space="0" w:color="auto"/>
            <w:bottom w:val="none" w:sz="0" w:space="0" w:color="auto"/>
            <w:right w:val="none" w:sz="0" w:space="0" w:color="auto"/>
          </w:divBdr>
        </w:div>
        <w:div w:id="94132275">
          <w:marLeft w:val="1800"/>
          <w:marRight w:val="0"/>
          <w:marTop w:val="72"/>
          <w:marBottom w:val="0"/>
          <w:divBdr>
            <w:top w:val="none" w:sz="0" w:space="0" w:color="auto"/>
            <w:left w:val="none" w:sz="0" w:space="0" w:color="auto"/>
            <w:bottom w:val="none" w:sz="0" w:space="0" w:color="auto"/>
            <w:right w:val="none" w:sz="0" w:space="0" w:color="auto"/>
          </w:divBdr>
        </w:div>
        <w:div w:id="785151396">
          <w:marLeft w:val="1800"/>
          <w:marRight w:val="0"/>
          <w:marTop w:val="72"/>
          <w:marBottom w:val="0"/>
          <w:divBdr>
            <w:top w:val="none" w:sz="0" w:space="0" w:color="auto"/>
            <w:left w:val="none" w:sz="0" w:space="0" w:color="auto"/>
            <w:bottom w:val="none" w:sz="0" w:space="0" w:color="auto"/>
            <w:right w:val="none" w:sz="0" w:space="0" w:color="auto"/>
          </w:divBdr>
        </w:div>
        <w:div w:id="544635819">
          <w:marLeft w:val="1800"/>
          <w:marRight w:val="0"/>
          <w:marTop w:val="72"/>
          <w:marBottom w:val="0"/>
          <w:divBdr>
            <w:top w:val="none" w:sz="0" w:space="0" w:color="auto"/>
            <w:left w:val="none" w:sz="0" w:space="0" w:color="auto"/>
            <w:bottom w:val="none" w:sz="0" w:space="0" w:color="auto"/>
            <w:right w:val="none" w:sz="0" w:space="0" w:color="auto"/>
          </w:divBdr>
        </w:div>
        <w:div w:id="1232930005">
          <w:marLeft w:val="1800"/>
          <w:marRight w:val="0"/>
          <w:marTop w:val="72"/>
          <w:marBottom w:val="0"/>
          <w:divBdr>
            <w:top w:val="none" w:sz="0" w:space="0" w:color="auto"/>
            <w:left w:val="none" w:sz="0" w:space="0" w:color="auto"/>
            <w:bottom w:val="none" w:sz="0" w:space="0" w:color="auto"/>
            <w:right w:val="none" w:sz="0" w:space="0" w:color="auto"/>
          </w:divBdr>
        </w:div>
      </w:divsChild>
    </w:div>
    <w:div w:id="1560088566">
      <w:bodyDiv w:val="1"/>
      <w:marLeft w:val="0"/>
      <w:marRight w:val="0"/>
      <w:marTop w:val="0"/>
      <w:marBottom w:val="0"/>
      <w:divBdr>
        <w:top w:val="none" w:sz="0" w:space="0" w:color="auto"/>
        <w:left w:val="none" w:sz="0" w:space="0" w:color="auto"/>
        <w:bottom w:val="none" w:sz="0" w:space="0" w:color="auto"/>
        <w:right w:val="none" w:sz="0" w:space="0" w:color="auto"/>
      </w:divBdr>
    </w:div>
    <w:div w:id="1606617742">
      <w:bodyDiv w:val="1"/>
      <w:marLeft w:val="0"/>
      <w:marRight w:val="0"/>
      <w:marTop w:val="0"/>
      <w:marBottom w:val="0"/>
      <w:divBdr>
        <w:top w:val="none" w:sz="0" w:space="0" w:color="auto"/>
        <w:left w:val="none" w:sz="0" w:space="0" w:color="auto"/>
        <w:bottom w:val="none" w:sz="0" w:space="0" w:color="auto"/>
        <w:right w:val="none" w:sz="0" w:space="0" w:color="auto"/>
      </w:divBdr>
      <w:divsChild>
        <w:div w:id="581524085">
          <w:marLeft w:val="1166"/>
          <w:marRight w:val="0"/>
          <w:marTop w:val="86"/>
          <w:marBottom w:val="0"/>
          <w:divBdr>
            <w:top w:val="none" w:sz="0" w:space="0" w:color="auto"/>
            <w:left w:val="none" w:sz="0" w:space="0" w:color="auto"/>
            <w:bottom w:val="none" w:sz="0" w:space="0" w:color="auto"/>
            <w:right w:val="none" w:sz="0" w:space="0" w:color="auto"/>
          </w:divBdr>
        </w:div>
        <w:div w:id="79447538">
          <w:marLeft w:val="1800"/>
          <w:marRight w:val="0"/>
          <w:marTop w:val="77"/>
          <w:marBottom w:val="0"/>
          <w:divBdr>
            <w:top w:val="none" w:sz="0" w:space="0" w:color="auto"/>
            <w:left w:val="none" w:sz="0" w:space="0" w:color="auto"/>
            <w:bottom w:val="none" w:sz="0" w:space="0" w:color="auto"/>
            <w:right w:val="none" w:sz="0" w:space="0" w:color="auto"/>
          </w:divBdr>
        </w:div>
        <w:div w:id="420370614">
          <w:marLeft w:val="1800"/>
          <w:marRight w:val="0"/>
          <w:marTop w:val="77"/>
          <w:marBottom w:val="0"/>
          <w:divBdr>
            <w:top w:val="none" w:sz="0" w:space="0" w:color="auto"/>
            <w:left w:val="none" w:sz="0" w:space="0" w:color="auto"/>
            <w:bottom w:val="none" w:sz="0" w:space="0" w:color="auto"/>
            <w:right w:val="none" w:sz="0" w:space="0" w:color="auto"/>
          </w:divBdr>
        </w:div>
        <w:div w:id="1475172414">
          <w:marLeft w:val="1800"/>
          <w:marRight w:val="0"/>
          <w:marTop w:val="77"/>
          <w:marBottom w:val="0"/>
          <w:divBdr>
            <w:top w:val="none" w:sz="0" w:space="0" w:color="auto"/>
            <w:left w:val="none" w:sz="0" w:space="0" w:color="auto"/>
            <w:bottom w:val="none" w:sz="0" w:space="0" w:color="auto"/>
            <w:right w:val="none" w:sz="0" w:space="0" w:color="auto"/>
          </w:divBdr>
        </w:div>
        <w:div w:id="748503290">
          <w:marLeft w:val="1800"/>
          <w:marRight w:val="0"/>
          <w:marTop w:val="77"/>
          <w:marBottom w:val="0"/>
          <w:divBdr>
            <w:top w:val="none" w:sz="0" w:space="0" w:color="auto"/>
            <w:left w:val="none" w:sz="0" w:space="0" w:color="auto"/>
            <w:bottom w:val="none" w:sz="0" w:space="0" w:color="auto"/>
            <w:right w:val="none" w:sz="0" w:space="0" w:color="auto"/>
          </w:divBdr>
        </w:div>
        <w:div w:id="837496611">
          <w:marLeft w:val="1800"/>
          <w:marRight w:val="0"/>
          <w:marTop w:val="77"/>
          <w:marBottom w:val="0"/>
          <w:divBdr>
            <w:top w:val="none" w:sz="0" w:space="0" w:color="auto"/>
            <w:left w:val="none" w:sz="0" w:space="0" w:color="auto"/>
            <w:bottom w:val="none" w:sz="0" w:space="0" w:color="auto"/>
            <w:right w:val="none" w:sz="0" w:space="0" w:color="auto"/>
          </w:divBdr>
        </w:div>
        <w:div w:id="1104421632">
          <w:marLeft w:val="1800"/>
          <w:marRight w:val="0"/>
          <w:marTop w:val="77"/>
          <w:marBottom w:val="0"/>
          <w:divBdr>
            <w:top w:val="none" w:sz="0" w:space="0" w:color="auto"/>
            <w:left w:val="none" w:sz="0" w:space="0" w:color="auto"/>
            <w:bottom w:val="none" w:sz="0" w:space="0" w:color="auto"/>
            <w:right w:val="none" w:sz="0" w:space="0" w:color="auto"/>
          </w:divBdr>
        </w:div>
        <w:div w:id="2125076670">
          <w:marLeft w:val="1166"/>
          <w:marRight w:val="0"/>
          <w:marTop w:val="86"/>
          <w:marBottom w:val="0"/>
          <w:divBdr>
            <w:top w:val="none" w:sz="0" w:space="0" w:color="auto"/>
            <w:left w:val="none" w:sz="0" w:space="0" w:color="auto"/>
            <w:bottom w:val="none" w:sz="0" w:space="0" w:color="auto"/>
            <w:right w:val="none" w:sz="0" w:space="0" w:color="auto"/>
          </w:divBdr>
        </w:div>
        <w:div w:id="1003244300">
          <w:marLeft w:val="1166"/>
          <w:marRight w:val="0"/>
          <w:marTop w:val="86"/>
          <w:marBottom w:val="0"/>
          <w:divBdr>
            <w:top w:val="none" w:sz="0" w:space="0" w:color="auto"/>
            <w:left w:val="none" w:sz="0" w:space="0" w:color="auto"/>
            <w:bottom w:val="none" w:sz="0" w:space="0" w:color="auto"/>
            <w:right w:val="none" w:sz="0" w:space="0" w:color="auto"/>
          </w:divBdr>
        </w:div>
        <w:div w:id="484053920">
          <w:marLeft w:val="1166"/>
          <w:marRight w:val="0"/>
          <w:marTop w:val="86"/>
          <w:marBottom w:val="0"/>
          <w:divBdr>
            <w:top w:val="none" w:sz="0" w:space="0" w:color="auto"/>
            <w:left w:val="none" w:sz="0" w:space="0" w:color="auto"/>
            <w:bottom w:val="none" w:sz="0" w:space="0" w:color="auto"/>
            <w:right w:val="none" w:sz="0" w:space="0" w:color="auto"/>
          </w:divBdr>
        </w:div>
        <w:div w:id="1902667911">
          <w:marLeft w:val="1166"/>
          <w:marRight w:val="0"/>
          <w:marTop w:val="86"/>
          <w:marBottom w:val="0"/>
          <w:divBdr>
            <w:top w:val="none" w:sz="0" w:space="0" w:color="auto"/>
            <w:left w:val="none" w:sz="0" w:space="0" w:color="auto"/>
            <w:bottom w:val="none" w:sz="0" w:space="0" w:color="auto"/>
            <w:right w:val="none" w:sz="0" w:space="0" w:color="auto"/>
          </w:divBdr>
        </w:div>
        <w:div w:id="1820683090">
          <w:marLeft w:val="1166"/>
          <w:marRight w:val="0"/>
          <w:marTop w:val="86"/>
          <w:marBottom w:val="0"/>
          <w:divBdr>
            <w:top w:val="none" w:sz="0" w:space="0" w:color="auto"/>
            <w:left w:val="none" w:sz="0" w:space="0" w:color="auto"/>
            <w:bottom w:val="none" w:sz="0" w:space="0" w:color="auto"/>
            <w:right w:val="none" w:sz="0" w:space="0" w:color="auto"/>
          </w:divBdr>
        </w:div>
        <w:div w:id="1521580684">
          <w:marLeft w:val="1166"/>
          <w:marRight w:val="0"/>
          <w:marTop w:val="86"/>
          <w:marBottom w:val="0"/>
          <w:divBdr>
            <w:top w:val="none" w:sz="0" w:space="0" w:color="auto"/>
            <w:left w:val="none" w:sz="0" w:space="0" w:color="auto"/>
            <w:bottom w:val="none" w:sz="0" w:space="0" w:color="auto"/>
            <w:right w:val="none" w:sz="0" w:space="0" w:color="auto"/>
          </w:divBdr>
        </w:div>
        <w:div w:id="1787508672">
          <w:marLeft w:val="1166"/>
          <w:marRight w:val="0"/>
          <w:marTop w:val="86"/>
          <w:marBottom w:val="0"/>
          <w:divBdr>
            <w:top w:val="none" w:sz="0" w:space="0" w:color="auto"/>
            <w:left w:val="none" w:sz="0" w:space="0" w:color="auto"/>
            <w:bottom w:val="none" w:sz="0" w:space="0" w:color="auto"/>
            <w:right w:val="none" w:sz="0" w:space="0" w:color="auto"/>
          </w:divBdr>
        </w:div>
      </w:divsChild>
    </w:div>
    <w:div w:id="1787117604">
      <w:bodyDiv w:val="1"/>
      <w:marLeft w:val="0"/>
      <w:marRight w:val="0"/>
      <w:marTop w:val="0"/>
      <w:marBottom w:val="0"/>
      <w:divBdr>
        <w:top w:val="none" w:sz="0" w:space="0" w:color="auto"/>
        <w:left w:val="none" w:sz="0" w:space="0" w:color="auto"/>
        <w:bottom w:val="none" w:sz="0" w:space="0" w:color="auto"/>
        <w:right w:val="none" w:sz="0" w:space="0" w:color="auto"/>
      </w:divBdr>
    </w:div>
    <w:div w:id="1824083557">
      <w:bodyDiv w:val="1"/>
      <w:marLeft w:val="0"/>
      <w:marRight w:val="0"/>
      <w:marTop w:val="0"/>
      <w:marBottom w:val="0"/>
      <w:divBdr>
        <w:top w:val="none" w:sz="0" w:space="0" w:color="auto"/>
        <w:left w:val="none" w:sz="0" w:space="0" w:color="auto"/>
        <w:bottom w:val="none" w:sz="0" w:space="0" w:color="auto"/>
        <w:right w:val="none" w:sz="0" w:space="0" w:color="auto"/>
      </w:divBdr>
    </w:div>
    <w:div w:id="1908296267">
      <w:bodyDiv w:val="1"/>
      <w:marLeft w:val="0"/>
      <w:marRight w:val="0"/>
      <w:marTop w:val="0"/>
      <w:marBottom w:val="0"/>
      <w:divBdr>
        <w:top w:val="none" w:sz="0" w:space="0" w:color="auto"/>
        <w:left w:val="none" w:sz="0" w:space="0" w:color="auto"/>
        <w:bottom w:val="none" w:sz="0" w:space="0" w:color="auto"/>
        <w:right w:val="none" w:sz="0" w:space="0" w:color="auto"/>
      </w:divBdr>
    </w:div>
    <w:div w:id="1912346752">
      <w:bodyDiv w:val="1"/>
      <w:marLeft w:val="0"/>
      <w:marRight w:val="0"/>
      <w:marTop w:val="0"/>
      <w:marBottom w:val="0"/>
      <w:divBdr>
        <w:top w:val="none" w:sz="0" w:space="0" w:color="auto"/>
        <w:left w:val="none" w:sz="0" w:space="0" w:color="auto"/>
        <w:bottom w:val="none" w:sz="0" w:space="0" w:color="auto"/>
        <w:right w:val="none" w:sz="0" w:space="0" w:color="auto"/>
      </w:divBdr>
    </w:div>
    <w:div w:id="1940524693">
      <w:bodyDiv w:val="1"/>
      <w:marLeft w:val="0"/>
      <w:marRight w:val="0"/>
      <w:marTop w:val="0"/>
      <w:marBottom w:val="0"/>
      <w:divBdr>
        <w:top w:val="none" w:sz="0" w:space="0" w:color="auto"/>
        <w:left w:val="none" w:sz="0" w:space="0" w:color="auto"/>
        <w:bottom w:val="none" w:sz="0" w:space="0" w:color="auto"/>
        <w:right w:val="none" w:sz="0" w:space="0" w:color="auto"/>
      </w:divBdr>
      <w:divsChild>
        <w:div w:id="250823015">
          <w:marLeft w:val="2520"/>
          <w:marRight w:val="0"/>
          <w:marTop w:val="77"/>
          <w:marBottom w:val="0"/>
          <w:divBdr>
            <w:top w:val="none" w:sz="0" w:space="0" w:color="auto"/>
            <w:left w:val="none" w:sz="0" w:space="0" w:color="auto"/>
            <w:bottom w:val="none" w:sz="0" w:space="0" w:color="auto"/>
            <w:right w:val="none" w:sz="0" w:space="0" w:color="auto"/>
          </w:divBdr>
        </w:div>
        <w:div w:id="220288342">
          <w:marLeft w:val="2520"/>
          <w:marRight w:val="0"/>
          <w:marTop w:val="77"/>
          <w:marBottom w:val="0"/>
          <w:divBdr>
            <w:top w:val="none" w:sz="0" w:space="0" w:color="auto"/>
            <w:left w:val="none" w:sz="0" w:space="0" w:color="auto"/>
            <w:bottom w:val="none" w:sz="0" w:space="0" w:color="auto"/>
            <w:right w:val="none" w:sz="0" w:space="0" w:color="auto"/>
          </w:divBdr>
        </w:div>
      </w:divsChild>
    </w:div>
    <w:div w:id="2005890257">
      <w:bodyDiv w:val="1"/>
      <w:marLeft w:val="0"/>
      <w:marRight w:val="0"/>
      <w:marTop w:val="0"/>
      <w:marBottom w:val="0"/>
      <w:divBdr>
        <w:top w:val="none" w:sz="0" w:space="0" w:color="auto"/>
        <w:left w:val="none" w:sz="0" w:space="0" w:color="auto"/>
        <w:bottom w:val="none" w:sz="0" w:space="0" w:color="auto"/>
        <w:right w:val="none" w:sz="0" w:space="0" w:color="auto"/>
      </w:divBdr>
      <w:divsChild>
        <w:div w:id="1046300338">
          <w:marLeft w:val="1800"/>
          <w:marRight w:val="0"/>
          <w:marTop w:val="77"/>
          <w:marBottom w:val="0"/>
          <w:divBdr>
            <w:top w:val="none" w:sz="0" w:space="0" w:color="auto"/>
            <w:left w:val="none" w:sz="0" w:space="0" w:color="auto"/>
            <w:bottom w:val="none" w:sz="0" w:space="0" w:color="auto"/>
            <w:right w:val="none" w:sz="0" w:space="0" w:color="auto"/>
          </w:divBdr>
        </w:div>
        <w:div w:id="1562212599">
          <w:marLeft w:val="2520"/>
          <w:marRight w:val="0"/>
          <w:marTop w:val="77"/>
          <w:marBottom w:val="0"/>
          <w:divBdr>
            <w:top w:val="none" w:sz="0" w:space="0" w:color="auto"/>
            <w:left w:val="none" w:sz="0" w:space="0" w:color="auto"/>
            <w:bottom w:val="none" w:sz="0" w:space="0" w:color="auto"/>
            <w:right w:val="none" w:sz="0" w:space="0" w:color="auto"/>
          </w:divBdr>
        </w:div>
        <w:div w:id="433479331">
          <w:marLeft w:val="2520"/>
          <w:marRight w:val="0"/>
          <w:marTop w:val="77"/>
          <w:marBottom w:val="0"/>
          <w:divBdr>
            <w:top w:val="none" w:sz="0" w:space="0" w:color="auto"/>
            <w:left w:val="none" w:sz="0" w:space="0" w:color="auto"/>
            <w:bottom w:val="none" w:sz="0" w:space="0" w:color="auto"/>
            <w:right w:val="none" w:sz="0" w:space="0" w:color="auto"/>
          </w:divBdr>
        </w:div>
        <w:div w:id="669065424">
          <w:marLeft w:val="2520"/>
          <w:marRight w:val="0"/>
          <w:marTop w:val="77"/>
          <w:marBottom w:val="0"/>
          <w:divBdr>
            <w:top w:val="none" w:sz="0" w:space="0" w:color="auto"/>
            <w:left w:val="none" w:sz="0" w:space="0" w:color="auto"/>
            <w:bottom w:val="none" w:sz="0" w:space="0" w:color="auto"/>
            <w:right w:val="none" w:sz="0" w:space="0" w:color="auto"/>
          </w:divBdr>
        </w:div>
        <w:div w:id="381253800">
          <w:marLeft w:val="2520"/>
          <w:marRight w:val="0"/>
          <w:marTop w:val="77"/>
          <w:marBottom w:val="0"/>
          <w:divBdr>
            <w:top w:val="none" w:sz="0" w:space="0" w:color="auto"/>
            <w:left w:val="none" w:sz="0" w:space="0" w:color="auto"/>
            <w:bottom w:val="none" w:sz="0" w:space="0" w:color="auto"/>
            <w:right w:val="none" w:sz="0" w:space="0" w:color="auto"/>
          </w:divBdr>
        </w:div>
      </w:divsChild>
    </w:div>
    <w:div w:id="2032298328">
      <w:bodyDiv w:val="1"/>
      <w:marLeft w:val="0"/>
      <w:marRight w:val="0"/>
      <w:marTop w:val="0"/>
      <w:marBottom w:val="0"/>
      <w:divBdr>
        <w:top w:val="none" w:sz="0" w:space="0" w:color="auto"/>
        <w:left w:val="none" w:sz="0" w:space="0" w:color="auto"/>
        <w:bottom w:val="none" w:sz="0" w:space="0" w:color="auto"/>
        <w:right w:val="none" w:sz="0" w:space="0" w:color="auto"/>
      </w:divBdr>
      <w:divsChild>
        <w:div w:id="1389110161">
          <w:marLeft w:val="1166"/>
          <w:marRight w:val="0"/>
          <w:marTop w:val="86"/>
          <w:marBottom w:val="0"/>
          <w:divBdr>
            <w:top w:val="none" w:sz="0" w:space="0" w:color="auto"/>
            <w:left w:val="none" w:sz="0" w:space="0" w:color="auto"/>
            <w:bottom w:val="none" w:sz="0" w:space="0" w:color="auto"/>
            <w:right w:val="none" w:sz="0" w:space="0" w:color="auto"/>
          </w:divBdr>
        </w:div>
        <w:div w:id="1802990510">
          <w:marLeft w:val="1166"/>
          <w:marRight w:val="0"/>
          <w:marTop w:val="86"/>
          <w:marBottom w:val="0"/>
          <w:divBdr>
            <w:top w:val="none" w:sz="0" w:space="0" w:color="auto"/>
            <w:left w:val="none" w:sz="0" w:space="0" w:color="auto"/>
            <w:bottom w:val="none" w:sz="0" w:space="0" w:color="auto"/>
            <w:right w:val="none" w:sz="0" w:space="0" w:color="auto"/>
          </w:divBdr>
        </w:div>
        <w:div w:id="541286600">
          <w:marLeft w:val="1800"/>
          <w:marRight w:val="0"/>
          <w:marTop w:val="77"/>
          <w:marBottom w:val="0"/>
          <w:divBdr>
            <w:top w:val="none" w:sz="0" w:space="0" w:color="auto"/>
            <w:left w:val="none" w:sz="0" w:space="0" w:color="auto"/>
            <w:bottom w:val="none" w:sz="0" w:space="0" w:color="auto"/>
            <w:right w:val="none" w:sz="0" w:space="0" w:color="auto"/>
          </w:divBdr>
        </w:div>
        <w:div w:id="1797408965">
          <w:marLeft w:val="1800"/>
          <w:marRight w:val="0"/>
          <w:marTop w:val="77"/>
          <w:marBottom w:val="0"/>
          <w:divBdr>
            <w:top w:val="none" w:sz="0" w:space="0" w:color="auto"/>
            <w:left w:val="none" w:sz="0" w:space="0" w:color="auto"/>
            <w:bottom w:val="none" w:sz="0" w:space="0" w:color="auto"/>
            <w:right w:val="none" w:sz="0" w:space="0" w:color="auto"/>
          </w:divBdr>
        </w:div>
        <w:div w:id="1219438515">
          <w:marLeft w:val="1800"/>
          <w:marRight w:val="0"/>
          <w:marTop w:val="77"/>
          <w:marBottom w:val="0"/>
          <w:divBdr>
            <w:top w:val="none" w:sz="0" w:space="0" w:color="auto"/>
            <w:left w:val="none" w:sz="0" w:space="0" w:color="auto"/>
            <w:bottom w:val="none" w:sz="0" w:space="0" w:color="auto"/>
            <w:right w:val="none" w:sz="0" w:space="0" w:color="auto"/>
          </w:divBdr>
        </w:div>
        <w:div w:id="655719282">
          <w:marLeft w:val="1800"/>
          <w:marRight w:val="0"/>
          <w:marTop w:val="77"/>
          <w:marBottom w:val="0"/>
          <w:divBdr>
            <w:top w:val="none" w:sz="0" w:space="0" w:color="auto"/>
            <w:left w:val="none" w:sz="0" w:space="0" w:color="auto"/>
            <w:bottom w:val="none" w:sz="0" w:space="0" w:color="auto"/>
            <w:right w:val="none" w:sz="0" w:space="0" w:color="auto"/>
          </w:divBdr>
        </w:div>
        <w:div w:id="982586170">
          <w:marLeft w:val="1800"/>
          <w:marRight w:val="0"/>
          <w:marTop w:val="77"/>
          <w:marBottom w:val="0"/>
          <w:divBdr>
            <w:top w:val="none" w:sz="0" w:space="0" w:color="auto"/>
            <w:left w:val="none" w:sz="0" w:space="0" w:color="auto"/>
            <w:bottom w:val="none" w:sz="0" w:space="0" w:color="auto"/>
            <w:right w:val="none" w:sz="0" w:space="0" w:color="auto"/>
          </w:divBdr>
        </w:div>
        <w:div w:id="1749380783">
          <w:marLeft w:val="1166"/>
          <w:marRight w:val="0"/>
          <w:marTop w:val="86"/>
          <w:marBottom w:val="0"/>
          <w:divBdr>
            <w:top w:val="none" w:sz="0" w:space="0" w:color="auto"/>
            <w:left w:val="none" w:sz="0" w:space="0" w:color="auto"/>
            <w:bottom w:val="none" w:sz="0" w:space="0" w:color="auto"/>
            <w:right w:val="none" w:sz="0" w:space="0" w:color="auto"/>
          </w:divBdr>
        </w:div>
        <w:div w:id="1066606452">
          <w:marLeft w:val="1166"/>
          <w:marRight w:val="0"/>
          <w:marTop w:val="86"/>
          <w:marBottom w:val="0"/>
          <w:divBdr>
            <w:top w:val="none" w:sz="0" w:space="0" w:color="auto"/>
            <w:left w:val="none" w:sz="0" w:space="0" w:color="auto"/>
            <w:bottom w:val="none" w:sz="0" w:space="0" w:color="auto"/>
            <w:right w:val="none" w:sz="0" w:space="0" w:color="auto"/>
          </w:divBdr>
        </w:div>
        <w:div w:id="319428224">
          <w:marLeft w:val="1800"/>
          <w:marRight w:val="0"/>
          <w:marTop w:val="77"/>
          <w:marBottom w:val="0"/>
          <w:divBdr>
            <w:top w:val="none" w:sz="0" w:space="0" w:color="auto"/>
            <w:left w:val="none" w:sz="0" w:space="0" w:color="auto"/>
            <w:bottom w:val="none" w:sz="0" w:space="0" w:color="auto"/>
            <w:right w:val="none" w:sz="0" w:space="0" w:color="auto"/>
          </w:divBdr>
        </w:div>
        <w:div w:id="589584521">
          <w:marLeft w:val="1800"/>
          <w:marRight w:val="0"/>
          <w:marTop w:val="77"/>
          <w:marBottom w:val="0"/>
          <w:divBdr>
            <w:top w:val="none" w:sz="0" w:space="0" w:color="auto"/>
            <w:left w:val="none" w:sz="0" w:space="0" w:color="auto"/>
            <w:bottom w:val="none" w:sz="0" w:space="0" w:color="auto"/>
            <w:right w:val="none" w:sz="0" w:space="0" w:color="auto"/>
          </w:divBdr>
        </w:div>
        <w:div w:id="1667244106">
          <w:marLeft w:val="1166"/>
          <w:marRight w:val="0"/>
          <w:marTop w:val="86"/>
          <w:marBottom w:val="0"/>
          <w:divBdr>
            <w:top w:val="none" w:sz="0" w:space="0" w:color="auto"/>
            <w:left w:val="none" w:sz="0" w:space="0" w:color="auto"/>
            <w:bottom w:val="none" w:sz="0" w:space="0" w:color="auto"/>
            <w:right w:val="none" w:sz="0" w:space="0" w:color="auto"/>
          </w:divBdr>
        </w:div>
        <w:div w:id="61030913">
          <w:marLeft w:val="1166"/>
          <w:marRight w:val="0"/>
          <w:marTop w:val="86"/>
          <w:marBottom w:val="0"/>
          <w:divBdr>
            <w:top w:val="none" w:sz="0" w:space="0" w:color="auto"/>
            <w:left w:val="none" w:sz="0" w:space="0" w:color="auto"/>
            <w:bottom w:val="none" w:sz="0" w:space="0" w:color="auto"/>
            <w:right w:val="none" w:sz="0" w:space="0" w:color="auto"/>
          </w:divBdr>
        </w:div>
        <w:div w:id="119232121">
          <w:marLeft w:val="1166"/>
          <w:marRight w:val="0"/>
          <w:marTop w:val="86"/>
          <w:marBottom w:val="0"/>
          <w:divBdr>
            <w:top w:val="none" w:sz="0" w:space="0" w:color="auto"/>
            <w:left w:val="none" w:sz="0" w:space="0" w:color="auto"/>
            <w:bottom w:val="none" w:sz="0" w:space="0" w:color="auto"/>
            <w:right w:val="none" w:sz="0" w:space="0" w:color="auto"/>
          </w:divBdr>
        </w:div>
      </w:divsChild>
    </w:div>
    <w:div w:id="2093890285">
      <w:bodyDiv w:val="1"/>
      <w:marLeft w:val="0"/>
      <w:marRight w:val="0"/>
      <w:marTop w:val="0"/>
      <w:marBottom w:val="0"/>
      <w:divBdr>
        <w:top w:val="none" w:sz="0" w:space="0" w:color="auto"/>
        <w:left w:val="none" w:sz="0" w:space="0" w:color="auto"/>
        <w:bottom w:val="none" w:sz="0" w:space="0" w:color="auto"/>
        <w:right w:val="none" w:sz="0" w:space="0" w:color="auto"/>
      </w:divBdr>
      <w:divsChild>
        <w:div w:id="686562269">
          <w:marLeft w:val="1800"/>
          <w:marRight w:val="0"/>
          <w:marTop w:val="72"/>
          <w:marBottom w:val="0"/>
          <w:divBdr>
            <w:top w:val="none" w:sz="0" w:space="0" w:color="auto"/>
            <w:left w:val="none" w:sz="0" w:space="0" w:color="auto"/>
            <w:bottom w:val="none" w:sz="0" w:space="0" w:color="auto"/>
            <w:right w:val="none" w:sz="0" w:space="0" w:color="auto"/>
          </w:divBdr>
        </w:div>
        <w:div w:id="1945646832">
          <w:marLeft w:val="1800"/>
          <w:marRight w:val="0"/>
          <w:marTop w:val="72"/>
          <w:marBottom w:val="0"/>
          <w:divBdr>
            <w:top w:val="none" w:sz="0" w:space="0" w:color="auto"/>
            <w:left w:val="none" w:sz="0" w:space="0" w:color="auto"/>
            <w:bottom w:val="none" w:sz="0" w:space="0" w:color="auto"/>
            <w:right w:val="none" w:sz="0" w:space="0" w:color="auto"/>
          </w:divBdr>
        </w:div>
        <w:div w:id="1626228527">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1633</TotalTime>
  <Pages>8</Pages>
  <Words>2715</Words>
  <Characters>15477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Author</cp:lastModifiedBy>
  <cp:revision>1078</cp:revision>
  <dcterms:created xsi:type="dcterms:W3CDTF">2021-05-04T05:42:00Z</dcterms:created>
  <dcterms:modified xsi:type="dcterms:W3CDTF">2022-01-06T00:39:00Z</dcterms:modified>
</cp:coreProperties>
</file>